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49" w:rsidRPr="000D7B1C" w:rsidRDefault="000A3249" w:rsidP="000A3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20"/>
        <w:gridCol w:w="2520"/>
        <w:gridCol w:w="1754"/>
      </w:tblGrid>
      <w:tr w:rsidR="000A3249" w:rsidRPr="000D7B1C" w:rsidTr="000A3249">
        <w:tblPrEx>
          <w:tblCellMar>
            <w:top w:w="0" w:type="dxa"/>
            <w:bottom w:w="0" w:type="dxa"/>
          </w:tblCellMar>
        </w:tblPrEx>
        <w:trPr>
          <w:cantSplit/>
        </w:trPr>
        <w:tc>
          <w:tcPr>
            <w:tcW w:w="2628" w:type="dxa"/>
          </w:tcPr>
          <w:p w:rsidR="000A3249" w:rsidRPr="000D7B1C" w:rsidRDefault="000A3249" w:rsidP="000A3249">
            <w:pPr>
              <w:pStyle w:val="Heading2"/>
            </w:pPr>
          </w:p>
          <w:p w:rsidR="000A3249" w:rsidRPr="000D7B1C" w:rsidRDefault="000A3249" w:rsidP="000A3249">
            <w:pPr>
              <w:pStyle w:val="Heading2"/>
            </w:pPr>
            <w:r w:rsidRPr="000D7B1C">
              <w:t>Date</w:t>
            </w:r>
            <w:r w:rsidR="00446231">
              <w:t xml:space="preserve"> Approved</w:t>
            </w:r>
          </w:p>
        </w:tc>
        <w:tc>
          <w:tcPr>
            <w:tcW w:w="1620" w:type="dxa"/>
          </w:tcPr>
          <w:p w:rsidR="000A3249" w:rsidRPr="000D7B1C" w:rsidRDefault="000A3249" w:rsidP="000A3249">
            <w:pPr>
              <w:pStyle w:val="Header"/>
              <w:tabs>
                <w:tab w:val="clear" w:pos="4153"/>
                <w:tab w:val="clear" w:pos="8306"/>
              </w:tabs>
            </w:pPr>
          </w:p>
          <w:p w:rsidR="000A3249" w:rsidRPr="000D7B1C" w:rsidRDefault="00446231" w:rsidP="000A3249">
            <w:pPr>
              <w:pStyle w:val="Header"/>
              <w:tabs>
                <w:tab w:val="clear" w:pos="4153"/>
                <w:tab w:val="clear" w:pos="8306"/>
              </w:tabs>
            </w:pPr>
            <w:r>
              <w:t>November 2012</w:t>
            </w:r>
          </w:p>
        </w:tc>
        <w:tc>
          <w:tcPr>
            <w:tcW w:w="2520" w:type="dxa"/>
          </w:tcPr>
          <w:p w:rsidR="000A3249" w:rsidRPr="000D7B1C" w:rsidRDefault="000A3249" w:rsidP="000A3249">
            <w:pPr>
              <w:pStyle w:val="Heading2"/>
            </w:pPr>
          </w:p>
          <w:p w:rsidR="000A3249" w:rsidRPr="000D7B1C" w:rsidRDefault="000A3249" w:rsidP="000A3249">
            <w:pPr>
              <w:pStyle w:val="Heading2"/>
            </w:pPr>
            <w:r w:rsidRPr="000D7B1C">
              <w:t>Date of Next Review</w:t>
            </w:r>
          </w:p>
        </w:tc>
        <w:tc>
          <w:tcPr>
            <w:tcW w:w="1754" w:type="dxa"/>
          </w:tcPr>
          <w:p w:rsidR="000A3249" w:rsidRPr="000D7B1C" w:rsidRDefault="000A3249" w:rsidP="000A3249">
            <w:pPr>
              <w:pStyle w:val="Header"/>
              <w:tabs>
                <w:tab w:val="clear" w:pos="4153"/>
                <w:tab w:val="clear" w:pos="8306"/>
              </w:tabs>
            </w:pPr>
          </w:p>
          <w:p w:rsidR="000A3249" w:rsidRPr="000D7B1C" w:rsidRDefault="00446231" w:rsidP="000A3249">
            <w:pPr>
              <w:pStyle w:val="Header"/>
              <w:tabs>
                <w:tab w:val="clear" w:pos="4153"/>
                <w:tab w:val="clear" w:pos="8306"/>
              </w:tabs>
            </w:pPr>
            <w:r>
              <w:t>November 2014</w:t>
            </w:r>
            <w:r w:rsidR="000A3249" w:rsidRPr="000D7B1C">
              <w:t xml:space="preserve"> </w:t>
            </w:r>
          </w:p>
        </w:tc>
      </w:tr>
      <w:tr w:rsidR="000A3249" w:rsidRPr="000D7B1C" w:rsidTr="000A3249">
        <w:tblPrEx>
          <w:tblCellMar>
            <w:top w:w="0" w:type="dxa"/>
            <w:bottom w:w="0" w:type="dxa"/>
          </w:tblCellMar>
        </w:tblPrEx>
        <w:trPr>
          <w:cantSplit/>
        </w:trPr>
        <w:tc>
          <w:tcPr>
            <w:tcW w:w="2628" w:type="dxa"/>
          </w:tcPr>
          <w:p w:rsidR="000A3249" w:rsidRPr="000D7B1C" w:rsidRDefault="000A3249" w:rsidP="000A3249">
            <w:pPr>
              <w:rPr>
                <w:b/>
                <w:bCs/>
              </w:rPr>
            </w:pPr>
          </w:p>
          <w:p w:rsidR="000A3249" w:rsidRPr="000D7B1C" w:rsidRDefault="000A3249" w:rsidP="000A3249">
            <w:pPr>
              <w:rPr>
                <w:b/>
                <w:bCs/>
              </w:rPr>
            </w:pPr>
            <w:r w:rsidRPr="000D7B1C">
              <w:rPr>
                <w:b/>
                <w:bCs/>
              </w:rPr>
              <w:t>Policy owner(s)</w:t>
            </w:r>
          </w:p>
        </w:tc>
        <w:tc>
          <w:tcPr>
            <w:tcW w:w="5894" w:type="dxa"/>
            <w:gridSpan w:val="3"/>
          </w:tcPr>
          <w:p w:rsidR="000A3249" w:rsidRPr="000D7B1C" w:rsidRDefault="000A3249" w:rsidP="000A3249"/>
          <w:p w:rsidR="000A3249" w:rsidRPr="000D7B1C" w:rsidRDefault="000A3249" w:rsidP="000A3249">
            <w:r w:rsidRPr="000D7B1C">
              <w:t>Heads of Neighbourhoods</w:t>
            </w:r>
          </w:p>
        </w:tc>
      </w:tr>
    </w:tbl>
    <w:p w:rsidR="000A3249" w:rsidRPr="000D7B1C" w:rsidRDefault="000A3249" w:rsidP="000A3249">
      <w:pPr>
        <w:ind w:left="360"/>
        <w:jc w:val="right"/>
        <w:rPr>
          <w:sz w:val="18"/>
        </w:rPr>
      </w:pPr>
    </w:p>
    <w:p w:rsidR="000A3249" w:rsidRPr="000D7B1C" w:rsidRDefault="000A3249" w:rsidP="000A3249">
      <w:pPr>
        <w:jc w:val="right"/>
        <w:rPr>
          <w:sz w:val="18"/>
        </w:rPr>
      </w:pPr>
    </w:p>
    <w:p w:rsidR="000A3249" w:rsidRPr="000D7B1C" w:rsidRDefault="000A3249" w:rsidP="000A3249">
      <w:pPr>
        <w:pStyle w:val="Heading2"/>
      </w:pPr>
    </w:p>
    <w:p w:rsidR="000A3249" w:rsidRPr="000D7B1C" w:rsidRDefault="000A3249" w:rsidP="000A3249">
      <w:pPr>
        <w:pStyle w:val="Heading2"/>
      </w:pPr>
      <w:r w:rsidRPr="000D7B1C">
        <w:t>1.  Scope</w:t>
      </w:r>
    </w:p>
    <w:p w:rsidR="000A3249" w:rsidRPr="000D7B1C" w:rsidRDefault="000A3249" w:rsidP="000A3249"/>
    <w:p w:rsidR="000A3249" w:rsidRPr="000D7B1C" w:rsidRDefault="000A3249" w:rsidP="000A3249">
      <w:r w:rsidRPr="000D7B1C">
        <w:t xml:space="preserve">This policy applies to </w:t>
      </w:r>
      <w:r w:rsidR="00011BA1">
        <w:t>customers</w:t>
      </w:r>
      <w:r w:rsidR="00011BA1" w:rsidRPr="000D7B1C">
        <w:t xml:space="preserve"> </w:t>
      </w:r>
      <w:r w:rsidR="00090FBB">
        <w:t xml:space="preserve">of </w:t>
      </w:r>
      <w:r w:rsidRPr="000D7B1C">
        <w:t>O</w:t>
      </w:r>
      <w:r>
        <w:t xml:space="preserve">xford </w:t>
      </w:r>
      <w:r w:rsidRPr="000D7B1C">
        <w:t>C</w:t>
      </w:r>
      <w:r>
        <w:t xml:space="preserve">itizens </w:t>
      </w:r>
      <w:r w:rsidRPr="000D7B1C">
        <w:t>H</w:t>
      </w:r>
      <w:r>
        <w:t xml:space="preserve"> </w:t>
      </w:r>
      <w:r w:rsidRPr="000D7B1C">
        <w:t>A</w:t>
      </w:r>
      <w:r w:rsidR="00932856">
        <w:t>, Oxbode H A, GreenSquare Community H A</w:t>
      </w:r>
      <w:r w:rsidR="00243DA2">
        <w:t>,</w:t>
      </w:r>
      <w:r w:rsidRPr="000D7B1C">
        <w:t xml:space="preserve"> Westlea</w:t>
      </w:r>
      <w:r>
        <w:t xml:space="preserve"> H A</w:t>
      </w:r>
      <w:r w:rsidRPr="000D7B1C">
        <w:t xml:space="preserve"> (</w:t>
      </w:r>
      <w:r w:rsidR="00932856">
        <w:t>all</w:t>
      </w:r>
      <w:r>
        <w:t xml:space="preserve"> </w:t>
      </w:r>
      <w:r w:rsidRPr="000D7B1C">
        <w:t>trading as GreenSquare)</w:t>
      </w:r>
      <w:r w:rsidR="00090FBB">
        <w:t xml:space="preserve">, </w:t>
      </w:r>
      <w:r w:rsidR="00243DA2">
        <w:t xml:space="preserve">and </w:t>
      </w:r>
      <w:r w:rsidR="00090FBB">
        <w:t xml:space="preserve">Oakus </w:t>
      </w:r>
      <w:r w:rsidR="000A7743">
        <w:t>in the following categories:</w:t>
      </w:r>
      <w:r w:rsidRPr="000D7B1C">
        <w:t xml:space="preserve"> general needs</w:t>
      </w:r>
      <w:r w:rsidR="000A7743">
        <w:t>,</w:t>
      </w:r>
      <w:r w:rsidRPr="000D7B1C">
        <w:t xml:space="preserve"> 55+</w:t>
      </w:r>
      <w:r w:rsidR="000A7743">
        <w:t>, temporary stock, mortgage rescue,</w:t>
      </w:r>
      <w:r w:rsidR="003E180A">
        <w:rPr>
          <w:color w:val="FF0000"/>
        </w:rPr>
        <w:t xml:space="preserve"> </w:t>
      </w:r>
      <w:r w:rsidR="003E180A" w:rsidRPr="003E180A">
        <w:t>supported housing</w:t>
      </w:r>
      <w:r w:rsidR="00090FBB" w:rsidRPr="00090FBB">
        <w:t xml:space="preserve">, </w:t>
      </w:r>
      <w:r>
        <w:t>shared ownership</w:t>
      </w:r>
      <w:r w:rsidR="00090FBB">
        <w:t xml:space="preserve"> and privately rented </w:t>
      </w:r>
      <w:r>
        <w:t xml:space="preserve"> properties</w:t>
      </w:r>
      <w:r w:rsidR="00090FBB">
        <w:t>.</w:t>
      </w:r>
    </w:p>
    <w:p w:rsidR="000A3249" w:rsidRPr="000D7B1C" w:rsidRDefault="000A3249" w:rsidP="000A3249"/>
    <w:p w:rsidR="000A3249" w:rsidRPr="000D7B1C" w:rsidRDefault="000A3249" w:rsidP="000A3249">
      <w:pPr>
        <w:pStyle w:val="Header"/>
        <w:tabs>
          <w:tab w:val="clear" w:pos="4153"/>
          <w:tab w:val="clear" w:pos="8306"/>
        </w:tabs>
      </w:pPr>
      <w:bookmarkStart w:id="0" w:name="Overview"/>
    </w:p>
    <w:p w:rsidR="000A3249" w:rsidRPr="000D7B1C" w:rsidRDefault="000A3249" w:rsidP="000A3249">
      <w:pPr>
        <w:pStyle w:val="Header"/>
        <w:tabs>
          <w:tab w:val="clear" w:pos="4153"/>
          <w:tab w:val="clear" w:pos="8306"/>
        </w:tabs>
        <w:rPr>
          <w:bCs/>
        </w:rPr>
      </w:pPr>
      <w:r w:rsidRPr="000D7B1C">
        <w:rPr>
          <w:b/>
          <w:bCs/>
        </w:rPr>
        <w:t xml:space="preserve">2. </w:t>
      </w:r>
      <w:bookmarkStart w:id="1" w:name="introduction"/>
      <w:r w:rsidRPr="000D7B1C">
        <w:rPr>
          <w:b/>
          <w:bCs/>
        </w:rPr>
        <w:t>Policy</w:t>
      </w:r>
    </w:p>
    <w:bookmarkEnd w:id="0"/>
    <w:bookmarkEnd w:id="1"/>
    <w:p w:rsidR="000A3249" w:rsidRPr="000D7B1C" w:rsidRDefault="000A3249" w:rsidP="000A3249">
      <w:pPr>
        <w:pStyle w:val="Header"/>
        <w:tabs>
          <w:tab w:val="clear" w:pos="4153"/>
          <w:tab w:val="clear" w:pos="8306"/>
        </w:tabs>
        <w:rPr>
          <w:b/>
          <w:bCs/>
        </w:rPr>
      </w:pPr>
    </w:p>
    <w:p w:rsidR="000A3249" w:rsidRDefault="000A3249" w:rsidP="000A3249">
      <w:pPr>
        <w:pStyle w:val="Header"/>
        <w:tabs>
          <w:tab w:val="clear" w:pos="4153"/>
          <w:tab w:val="clear" w:pos="8306"/>
        </w:tabs>
        <w:rPr>
          <w:bCs/>
        </w:rPr>
      </w:pPr>
      <w:r w:rsidRPr="000D7B1C">
        <w:rPr>
          <w:bCs/>
        </w:rPr>
        <w:t xml:space="preserve">Our aim is to </w:t>
      </w:r>
      <w:r w:rsidR="000A7743">
        <w:rPr>
          <w:bCs/>
        </w:rPr>
        <w:t>issue tenancies</w:t>
      </w:r>
      <w:r w:rsidR="005C0074">
        <w:rPr>
          <w:bCs/>
        </w:rPr>
        <w:t xml:space="preserve"> </w:t>
      </w:r>
      <w:r w:rsidR="00CF7BCE">
        <w:rPr>
          <w:bCs/>
        </w:rPr>
        <w:t>or terms of occupation</w:t>
      </w:r>
      <w:r w:rsidR="0085597F">
        <w:rPr>
          <w:bCs/>
        </w:rPr>
        <w:t xml:space="preserve"> in correct legal format</w:t>
      </w:r>
      <w:r w:rsidR="00CF7BCE">
        <w:rPr>
          <w:bCs/>
        </w:rPr>
        <w:t xml:space="preserve"> </w:t>
      </w:r>
      <w:r w:rsidR="005C0074">
        <w:rPr>
          <w:bCs/>
        </w:rPr>
        <w:t>which are compatible with the purpose of the accommodation, the needs of individual households, the sustainability of the communities in which we operate and the efficient use of our housing stock.</w:t>
      </w:r>
    </w:p>
    <w:p w:rsidR="0085597F" w:rsidRPr="000D7B1C" w:rsidRDefault="0085597F" w:rsidP="000A3249">
      <w:pPr>
        <w:pStyle w:val="Header"/>
        <w:tabs>
          <w:tab w:val="clear" w:pos="4153"/>
          <w:tab w:val="clear" w:pos="8306"/>
        </w:tabs>
        <w:rPr>
          <w:bCs/>
        </w:rPr>
      </w:pPr>
    </w:p>
    <w:p w:rsidR="000A3249" w:rsidRPr="000D7B1C" w:rsidRDefault="000A3249" w:rsidP="000A3249">
      <w:pPr>
        <w:pStyle w:val="Header"/>
        <w:tabs>
          <w:tab w:val="clear" w:pos="4153"/>
          <w:tab w:val="clear" w:pos="8306"/>
        </w:tabs>
        <w:rPr>
          <w:bCs/>
        </w:rPr>
      </w:pPr>
    </w:p>
    <w:p w:rsidR="00347C5F" w:rsidRPr="000D7B1C" w:rsidRDefault="000A3249" w:rsidP="00347C5F">
      <w:pPr>
        <w:pStyle w:val="Header"/>
        <w:tabs>
          <w:tab w:val="clear" w:pos="4153"/>
          <w:tab w:val="clear" w:pos="8306"/>
        </w:tabs>
        <w:rPr>
          <w:b/>
          <w:bCs/>
        </w:rPr>
      </w:pPr>
      <w:bookmarkStart w:id="2" w:name="Aims"/>
      <w:r w:rsidRPr="000D7B1C">
        <w:rPr>
          <w:b/>
        </w:rPr>
        <w:t>3</w:t>
      </w:r>
      <w:bookmarkStart w:id="3" w:name="tenure"/>
      <w:r w:rsidRPr="000D7B1C">
        <w:rPr>
          <w:b/>
        </w:rPr>
        <w:t xml:space="preserve">. </w:t>
      </w:r>
      <w:bookmarkStart w:id="4" w:name="nominations"/>
      <w:r w:rsidR="00347C5F" w:rsidRPr="000D7B1C">
        <w:rPr>
          <w:b/>
          <w:bCs/>
        </w:rPr>
        <w:t>Our Approach</w:t>
      </w:r>
      <w:bookmarkEnd w:id="4"/>
    </w:p>
    <w:p w:rsidR="00347C5F" w:rsidRPr="000D7B1C" w:rsidRDefault="00347C5F" w:rsidP="00347C5F">
      <w:pPr>
        <w:pStyle w:val="Header"/>
        <w:tabs>
          <w:tab w:val="clear" w:pos="4153"/>
          <w:tab w:val="clear" w:pos="8306"/>
        </w:tabs>
        <w:rPr>
          <w:b/>
          <w:bCs/>
        </w:rPr>
      </w:pPr>
    </w:p>
    <w:p w:rsidR="00043151" w:rsidRDefault="00347C5F" w:rsidP="00043151">
      <w:pPr>
        <w:pStyle w:val="Header"/>
        <w:numPr>
          <w:ilvl w:val="0"/>
          <w:numId w:val="4"/>
        </w:numPr>
        <w:tabs>
          <w:tab w:val="clear" w:pos="4153"/>
          <w:tab w:val="clear" w:pos="8306"/>
        </w:tabs>
      </w:pPr>
      <w:r w:rsidRPr="000D7B1C">
        <w:t xml:space="preserve">We are committed to working with our local authority partners to help them meet their duty to </w:t>
      </w:r>
      <w:r w:rsidR="00043151">
        <w:t xml:space="preserve">assist </w:t>
      </w:r>
      <w:r w:rsidRPr="000D7B1C">
        <w:t xml:space="preserve">people in housing need.  </w:t>
      </w:r>
      <w:r>
        <w:t>Therefore we will have regard to the tenancy strategy produced by each LA in our area of operations</w:t>
      </w:r>
    </w:p>
    <w:p w:rsidR="004B76E6" w:rsidRDefault="004B76E6" w:rsidP="004B76E6">
      <w:pPr>
        <w:pStyle w:val="Header"/>
        <w:numPr>
          <w:ilvl w:val="0"/>
          <w:numId w:val="4"/>
        </w:numPr>
        <w:tabs>
          <w:tab w:val="clear" w:pos="4153"/>
          <w:tab w:val="clear" w:pos="8306"/>
        </w:tabs>
      </w:pPr>
      <w:r>
        <w:t>We will issue each customer with a detailed tenancy agreement</w:t>
      </w:r>
      <w:r w:rsidR="007A3083">
        <w:t xml:space="preserve"> or term of occupation</w:t>
      </w:r>
      <w:r>
        <w:t xml:space="preserve"> setting out the rights and responsibilities of both parties</w:t>
      </w:r>
    </w:p>
    <w:p w:rsidR="00043151" w:rsidRDefault="00043151" w:rsidP="00043151">
      <w:pPr>
        <w:pStyle w:val="Header"/>
        <w:numPr>
          <w:ilvl w:val="0"/>
          <w:numId w:val="4"/>
        </w:numPr>
        <w:tabs>
          <w:tab w:val="clear" w:pos="4153"/>
          <w:tab w:val="clear" w:pos="8306"/>
        </w:tabs>
      </w:pPr>
      <w:r>
        <w:t>We will use our Tenancy Sustainment Team</w:t>
      </w:r>
      <w:r w:rsidR="009C1EB0">
        <w:t>, 55+ team</w:t>
      </w:r>
      <w:r>
        <w:t xml:space="preserve"> </w:t>
      </w:r>
      <w:r w:rsidR="0094676D">
        <w:t xml:space="preserve">and external partner agencies </w:t>
      </w:r>
      <w:r>
        <w:t>to work with customers before and during their occupancy in order to help them sustain their tenancies</w:t>
      </w:r>
    </w:p>
    <w:p w:rsidR="00276A3E" w:rsidRDefault="00043151" w:rsidP="00043151">
      <w:pPr>
        <w:pStyle w:val="Header"/>
        <w:numPr>
          <w:ilvl w:val="0"/>
          <w:numId w:val="4"/>
        </w:numPr>
        <w:tabs>
          <w:tab w:val="clear" w:pos="4153"/>
          <w:tab w:val="clear" w:pos="8306"/>
        </w:tabs>
      </w:pPr>
      <w:r>
        <w:t xml:space="preserve">We will </w:t>
      </w:r>
      <w:r w:rsidR="00276A3E">
        <w:t xml:space="preserve">only use eviction as a last resort when addressing breach of tenancy </w:t>
      </w:r>
    </w:p>
    <w:p w:rsidR="00276A3E" w:rsidRDefault="00276A3E" w:rsidP="00043151">
      <w:pPr>
        <w:pStyle w:val="Header"/>
        <w:numPr>
          <w:ilvl w:val="0"/>
          <w:numId w:val="4"/>
        </w:numPr>
        <w:tabs>
          <w:tab w:val="clear" w:pos="4153"/>
          <w:tab w:val="clear" w:pos="8306"/>
        </w:tabs>
      </w:pPr>
      <w:r>
        <w:t>We</w:t>
      </w:r>
      <w:r w:rsidR="00114606">
        <w:t xml:space="preserve"> will</w:t>
      </w:r>
      <w:r>
        <w:t xml:space="preserve"> identify and tackle </w:t>
      </w:r>
      <w:r w:rsidR="00114606">
        <w:t xml:space="preserve">tenancy fraud </w:t>
      </w:r>
      <w:r>
        <w:t>in our stock</w:t>
      </w:r>
      <w:r w:rsidR="00114606">
        <w:t xml:space="preserve"> within reasonable resources</w:t>
      </w:r>
    </w:p>
    <w:p w:rsidR="00D86BFD" w:rsidRDefault="00D86BFD" w:rsidP="00043151">
      <w:pPr>
        <w:pStyle w:val="Header"/>
        <w:numPr>
          <w:ilvl w:val="0"/>
          <w:numId w:val="4"/>
        </w:numPr>
        <w:tabs>
          <w:tab w:val="clear" w:pos="4153"/>
          <w:tab w:val="clear" w:pos="8306"/>
        </w:tabs>
      </w:pPr>
      <w:r>
        <w:t xml:space="preserve">We </w:t>
      </w:r>
      <w:r w:rsidR="009D4C7A">
        <w:t>are currently</w:t>
      </w:r>
      <w:r>
        <w:t xml:space="preserve"> not us</w:t>
      </w:r>
      <w:r w:rsidR="009D4C7A">
        <w:t>ing</w:t>
      </w:r>
      <w:r>
        <w:t xml:space="preserve"> fixed term tenancies made available by the Localism Act</w:t>
      </w:r>
    </w:p>
    <w:p w:rsidR="000668AA" w:rsidRDefault="000668AA" w:rsidP="00347C5F">
      <w:pPr>
        <w:pStyle w:val="Header"/>
        <w:tabs>
          <w:tab w:val="clear" w:pos="4153"/>
          <w:tab w:val="clear" w:pos="8306"/>
        </w:tabs>
        <w:rPr>
          <w:b/>
          <w:bCs/>
        </w:rPr>
      </w:pPr>
    </w:p>
    <w:p w:rsidR="00F313CE" w:rsidRDefault="00F313CE" w:rsidP="00F313CE">
      <w:pPr>
        <w:overflowPunct w:val="0"/>
        <w:autoSpaceDE w:val="0"/>
        <w:autoSpaceDN w:val="0"/>
        <w:adjustRightInd w:val="0"/>
        <w:textAlignment w:val="baseline"/>
        <w:rPr>
          <w:b/>
          <w:bCs/>
        </w:rPr>
      </w:pPr>
    </w:p>
    <w:p w:rsidR="0085597F" w:rsidRDefault="0085597F" w:rsidP="00F313CE">
      <w:pPr>
        <w:overflowPunct w:val="0"/>
        <w:autoSpaceDE w:val="0"/>
        <w:autoSpaceDN w:val="0"/>
        <w:adjustRightInd w:val="0"/>
        <w:textAlignment w:val="baseline"/>
        <w:rPr>
          <w:b/>
          <w:bCs/>
        </w:rPr>
      </w:pPr>
    </w:p>
    <w:p w:rsidR="0085597F" w:rsidRDefault="0085597F" w:rsidP="00F313CE">
      <w:pPr>
        <w:overflowPunct w:val="0"/>
        <w:autoSpaceDE w:val="0"/>
        <w:autoSpaceDN w:val="0"/>
        <w:adjustRightInd w:val="0"/>
        <w:textAlignment w:val="baseline"/>
        <w:rPr>
          <w:b/>
          <w:bCs/>
        </w:rPr>
      </w:pPr>
    </w:p>
    <w:p w:rsidR="0085597F" w:rsidRDefault="0085597F" w:rsidP="00F313CE">
      <w:pPr>
        <w:overflowPunct w:val="0"/>
        <w:autoSpaceDE w:val="0"/>
        <w:autoSpaceDN w:val="0"/>
        <w:adjustRightInd w:val="0"/>
        <w:textAlignment w:val="baseline"/>
        <w:rPr>
          <w:b/>
          <w:bCs/>
        </w:rPr>
      </w:pPr>
    </w:p>
    <w:p w:rsidR="00F313CE" w:rsidRPr="00AE33FE" w:rsidRDefault="00F313CE" w:rsidP="00F313CE">
      <w:pPr>
        <w:overflowPunct w:val="0"/>
        <w:autoSpaceDE w:val="0"/>
        <w:autoSpaceDN w:val="0"/>
        <w:adjustRightInd w:val="0"/>
        <w:textAlignment w:val="baseline"/>
        <w:rPr>
          <w:rFonts w:cs="Arial"/>
          <w:b/>
        </w:rPr>
      </w:pPr>
      <w:r>
        <w:rPr>
          <w:b/>
          <w:bCs/>
        </w:rPr>
        <w:t>4.</w:t>
      </w:r>
      <w:r w:rsidRPr="00F313CE">
        <w:rPr>
          <w:rFonts w:cs="Arial"/>
          <w:b/>
        </w:rPr>
        <w:t xml:space="preserve"> </w:t>
      </w:r>
      <w:r w:rsidRPr="00AE33FE">
        <w:rPr>
          <w:rFonts w:cs="Arial"/>
          <w:b/>
        </w:rPr>
        <w:t xml:space="preserve">Our Tenancy </w:t>
      </w:r>
      <w:r>
        <w:rPr>
          <w:rFonts w:cs="Arial"/>
          <w:b/>
        </w:rPr>
        <w:t>O</w:t>
      </w:r>
      <w:r w:rsidRPr="00AE33FE">
        <w:rPr>
          <w:rFonts w:cs="Arial"/>
          <w:b/>
        </w:rPr>
        <w:t>ptions</w:t>
      </w:r>
    </w:p>
    <w:p w:rsidR="00347C5F" w:rsidRPr="000D7B1C" w:rsidRDefault="00347C5F" w:rsidP="00347C5F">
      <w:pPr>
        <w:pStyle w:val="Header"/>
        <w:tabs>
          <w:tab w:val="clear" w:pos="4153"/>
          <w:tab w:val="clear" w:pos="8306"/>
        </w:tabs>
        <w:rPr>
          <w:b/>
          <w:bCs/>
        </w:rPr>
      </w:pPr>
    </w:p>
    <w:p w:rsidR="00F313CE" w:rsidRPr="00AE33FE" w:rsidRDefault="00F313CE" w:rsidP="00F313CE">
      <w:pPr>
        <w:tabs>
          <w:tab w:val="num" w:pos="567"/>
        </w:tabs>
        <w:overflowPunct w:val="0"/>
        <w:autoSpaceDE w:val="0"/>
        <w:autoSpaceDN w:val="0"/>
        <w:adjustRightInd w:val="0"/>
        <w:textAlignment w:val="baseline"/>
        <w:rPr>
          <w:rFonts w:cs="Arial"/>
        </w:rPr>
      </w:pPr>
      <w:r w:rsidRPr="00AE33FE">
        <w:rPr>
          <w:rFonts w:cs="Arial"/>
        </w:rPr>
        <w:t xml:space="preserve">We have a range of different tenancy </w:t>
      </w:r>
      <w:r>
        <w:rPr>
          <w:rFonts w:cs="Arial"/>
        </w:rPr>
        <w:t>types</w:t>
      </w:r>
      <w:r w:rsidRPr="00AE33FE">
        <w:rPr>
          <w:rFonts w:cs="Arial"/>
        </w:rPr>
        <w:t xml:space="preserve"> that we use across the Group. The table below outlines the various agreements that we have and when we will generally use them</w:t>
      </w:r>
      <w:r>
        <w:rPr>
          <w:rFonts w:cs="Arial"/>
        </w:rPr>
        <w:t>:</w:t>
      </w:r>
    </w:p>
    <w:p w:rsidR="00347C5F" w:rsidRPr="000D7B1C" w:rsidRDefault="00347C5F" w:rsidP="00347C5F">
      <w:pPr>
        <w:pStyle w:val="Header"/>
        <w:tabs>
          <w:tab w:val="clear" w:pos="4153"/>
          <w:tab w:val="clear" w:pos="8306"/>
        </w:tabs>
        <w:rPr>
          <w:b/>
          <w:bCs/>
        </w:rPr>
      </w:pPr>
    </w:p>
    <w:tbl>
      <w:tblPr>
        <w:tblStyle w:val="TableGrid"/>
        <w:tblW w:w="0" w:type="auto"/>
        <w:tblLook w:val="01E0"/>
      </w:tblPr>
      <w:tblGrid>
        <w:gridCol w:w="2268"/>
        <w:gridCol w:w="6254"/>
      </w:tblGrid>
      <w:tr w:rsidR="00F313CE" w:rsidRPr="00AE33FE" w:rsidTr="00512B8E">
        <w:tc>
          <w:tcPr>
            <w:tcW w:w="2268" w:type="dxa"/>
          </w:tcPr>
          <w:p w:rsidR="00F313CE" w:rsidRDefault="00F313CE" w:rsidP="00512B8E">
            <w:pPr>
              <w:rPr>
                <w:rFonts w:cs="Arial"/>
                <w:b/>
              </w:rPr>
            </w:pPr>
            <w:r w:rsidRPr="004221CE">
              <w:rPr>
                <w:rFonts w:cs="Arial"/>
                <w:b/>
              </w:rPr>
              <w:t>Tenancy Type</w:t>
            </w:r>
          </w:p>
          <w:p w:rsidR="00F313CE" w:rsidRPr="004221CE" w:rsidRDefault="00F313CE" w:rsidP="00512B8E">
            <w:pPr>
              <w:rPr>
                <w:rFonts w:cs="Arial"/>
                <w:b/>
              </w:rPr>
            </w:pPr>
          </w:p>
        </w:tc>
        <w:tc>
          <w:tcPr>
            <w:tcW w:w="6254" w:type="dxa"/>
          </w:tcPr>
          <w:p w:rsidR="00F313CE" w:rsidRPr="004221CE" w:rsidRDefault="00F313CE" w:rsidP="00512B8E">
            <w:pPr>
              <w:rPr>
                <w:rFonts w:cs="Arial"/>
                <w:b/>
              </w:rPr>
            </w:pPr>
            <w:r w:rsidRPr="004221CE">
              <w:rPr>
                <w:rFonts w:cs="Arial"/>
                <w:b/>
              </w:rPr>
              <w:t>Who offered to</w:t>
            </w:r>
          </w:p>
        </w:tc>
      </w:tr>
      <w:tr w:rsidR="00F313CE" w:rsidRPr="00AE33FE" w:rsidTr="00512B8E">
        <w:tc>
          <w:tcPr>
            <w:tcW w:w="2268" w:type="dxa"/>
          </w:tcPr>
          <w:p w:rsidR="00F313CE" w:rsidRPr="00AE33FE" w:rsidRDefault="00F313CE" w:rsidP="00512B8E">
            <w:pPr>
              <w:rPr>
                <w:rFonts w:cs="Arial"/>
              </w:rPr>
            </w:pPr>
            <w:r w:rsidRPr="00AE33FE">
              <w:rPr>
                <w:rFonts w:cs="Arial"/>
              </w:rPr>
              <w:t>Licence Agreement</w:t>
            </w:r>
          </w:p>
        </w:tc>
        <w:tc>
          <w:tcPr>
            <w:tcW w:w="6254" w:type="dxa"/>
          </w:tcPr>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Customers who do not have exclusive occupation of their property</w:t>
            </w:r>
          </w:p>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 xml:space="preserve">Some Supported </w:t>
            </w:r>
            <w:r w:rsidR="009C1EB0">
              <w:rPr>
                <w:rFonts w:cs="Arial"/>
              </w:rPr>
              <w:t>H</w:t>
            </w:r>
            <w:r w:rsidRPr="00AE33FE">
              <w:rPr>
                <w:rFonts w:cs="Arial"/>
              </w:rPr>
              <w:t>ousing customers</w:t>
            </w:r>
          </w:p>
          <w:p w:rsidR="00F313C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Garages</w:t>
            </w:r>
          </w:p>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Pr>
                <w:rFonts w:cs="Arial"/>
              </w:rPr>
              <w:t>Refuge units</w:t>
            </w:r>
          </w:p>
          <w:p w:rsidR="00F313CE" w:rsidRPr="00AE33FE" w:rsidRDefault="00F313CE" w:rsidP="00512B8E">
            <w:pPr>
              <w:rPr>
                <w:rFonts w:cs="Arial"/>
              </w:rPr>
            </w:pPr>
          </w:p>
        </w:tc>
      </w:tr>
      <w:tr w:rsidR="00F313CE" w:rsidRPr="00AE33FE" w:rsidTr="00512B8E">
        <w:tc>
          <w:tcPr>
            <w:tcW w:w="2268" w:type="dxa"/>
          </w:tcPr>
          <w:p w:rsidR="00F313CE" w:rsidRPr="00AE33FE" w:rsidRDefault="00F313CE" w:rsidP="00512B8E">
            <w:pPr>
              <w:rPr>
                <w:rFonts w:cs="Arial"/>
              </w:rPr>
            </w:pPr>
            <w:r>
              <w:rPr>
                <w:rFonts w:cs="Arial"/>
              </w:rPr>
              <w:t>Secure Tenancy</w:t>
            </w:r>
          </w:p>
        </w:tc>
        <w:tc>
          <w:tcPr>
            <w:tcW w:w="6254" w:type="dxa"/>
          </w:tcPr>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Existing customers with this type of tenancy who are transferring to another of our properties.</w:t>
            </w:r>
          </w:p>
          <w:p w:rsidR="00F313CE" w:rsidRPr="00AE33FE" w:rsidRDefault="00F313CE" w:rsidP="00512B8E">
            <w:pPr>
              <w:overflowPunct/>
              <w:autoSpaceDE/>
              <w:autoSpaceDN/>
              <w:adjustRightInd/>
              <w:textAlignment w:val="auto"/>
              <w:rPr>
                <w:rFonts w:cs="Arial"/>
              </w:rPr>
            </w:pPr>
          </w:p>
        </w:tc>
      </w:tr>
      <w:tr w:rsidR="00F313CE" w:rsidRPr="00AE33FE" w:rsidTr="00512B8E">
        <w:tc>
          <w:tcPr>
            <w:tcW w:w="2268" w:type="dxa"/>
          </w:tcPr>
          <w:p w:rsidR="00F313CE" w:rsidRPr="00AE33FE" w:rsidRDefault="00F313CE" w:rsidP="00512B8E">
            <w:pPr>
              <w:rPr>
                <w:rFonts w:cs="Arial"/>
              </w:rPr>
            </w:pPr>
            <w:r w:rsidRPr="00AE33FE">
              <w:rPr>
                <w:rFonts w:cs="Arial"/>
              </w:rPr>
              <w:t>Assured Shorthold Tenancy</w:t>
            </w:r>
          </w:p>
        </w:tc>
        <w:tc>
          <w:tcPr>
            <w:tcW w:w="6254" w:type="dxa"/>
          </w:tcPr>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Customers living in a property where we are the leaseholder</w:t>
            </w:r>
          </w:p>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Some Supported Housing customers</w:t>
            </w:r>
          </w:p>
          <w:p w:rsidR="00F313C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 xml:space="preserve">Customers living in </w:t>
            </w:r>
            <w:r w:rsidR="008F7210">
              <w:rPr>
                <w:rFonts w:cs="Arial"/>
              </w:rPr>
              <w:t xml:space="preserve">units of </w:t>
            </w:r>
            <w:r>
              <w:rPr>
                <w:rFonts w:cs="Arial"/>
              </w:rPr>
              <w:t xml:space="preserve">temporary </w:t>
            </w:r>
            <w:r w:rsidR="008F7210">
              <w:rPr>
                <w:rFonts w:cs="Arial"/>
              </w:rPr>
              <w:t>accommodation</w:t>
            </w:r>
          </w:p>
          <w:p w:rsidR="008F7210" w:rsidRPr="008F7210" w:rsidRDefault="00F313CE" w:rsidP="008F7210">
            <w:pPr>
              <w:numPr>
                <w:ilvl w:val="0"/>
                <w:numId w:val="6"/>
              </w:numPr>
              <w:tabs>
                <w:tab w:val="clear" w:pos="900"/>
                <w:tab w:val="num" w:pos="252"/>
              </w:tabs>
              <w:ind w:left="284" w:hanging="284"/>
              <w:jc w:val="both"/>
              <w:rPr>
                <w:rFonts w:ascii="Tahoma" w:hAnsi="Tahoma" w:cs="Tahoma"/>
                <w:sz w:val="20"/>
                <w:szCs w:val="20"/>
              </w:rPr>
            </w:pPr>
            <w:r>
              <w:rPr>
                <w:rFonts w:cs="Arial"/>
              </w:rPr>
              <w:t>Where a customer has been granted temporary rights to stay in a property whilst seeking alternative accommodation</w:t>
            </w:r>
          </w:p>
          <w:p w:rsidR="003D0C46" w:rsidRDefault="0060165B" w:rsidP="008F7210">
            <w:pPr>
              <w:numPr>
                <w:ilvl w:val="0"/>
                <w:numId w:val="6"/>
              </w:numPr>
              <w:tabs>
                <w:tab w:val="clear" w:pos="900"/>
                <w:tab w:val="num" w:pos="252"/>
              </w:tabs>
              <w:ind w:hanging="900"/>
              <w:jc w:val="both"/>
              <w:rPr>
                <w:rFonts w:cs="Arial"/>
              </w:rPr>
            </w:pPr>
            <w:r w:rsidRPr="008F7210">
              <w:rPr>
                <w:rFonts w:cs="Arial"/>
              </w:rPr>
              <w:t xml:space="preserve">Where </w:t>
            </w:r>
            <w:r w:rsidR="008F7210">
              <w:rPr>
                <w:rFonts w:cs="Arial"/>
              </w:rPr>
              <w:t>a customer</w:t>
            </w:r>
            <w:r w:rsidRPr="008F7210">
              <w:rPr>
                <w:rFonts w:cs="Arial"/>
              </w:rPr>
              <w:t xml:space="preserve"> has former tenancy arrears</w:t>
            </w:r>
          </w:p>
          <w:p w:rsidR="003D0C46" w:rsidRDefault="003D0C46" w:rsidP="003D0C46">
            <w:pPr>
              <w:numPr>
                <w:ilvl w:val="0"/>
                <w:numId w:val="6"/>
              </w:numPr>
              <w:tabs>
                <w:tab w:val="clear" w:pos="900"/>
                <w:tab w:val="num" w:pos="252"/>
              </w:tabs>
              <w:ind w:left="252" w:hanging="252"/>
              <w:jc w:val="both"/>
              <w:rPr>
                <w:rFonts w:cs="Arial"/>
              </w:rPr>
            </w:pPr>
            <w:r>
              <w:rPr>
                <w:rFonts w:cs="Arial"/>
              </w:rPr>
              <w:t>Where a customer has previously been the perpetrator of ASB</w:t>
            </w:r>
          </w:p>
          <w:p w:rsidR="003D0C46" w:rsidRDefault="003D0C46" w:rsidP="003D0C46">
            <w:pPr>
              <w:numPr>
                <w:ilvl w:val="0"/>
                <w:numId w:val="6"/>
              </w:numPr>
              <w:tabs>
                <w:tab w:val="clear" w:pos="900"/>
                <w:tab w:val="num" w:pos="252"/>
              </w:tabs>
              <w:ind w:left="252" w:hanging="252"/>
              <w:jc w:val="both"/>
              <w:rPr>
                <w:rFonts w:cs="Arial"/>
              </w:rPr>
            </w:pPr>
            <w:r>
              <w:rPr>
                <w:rFonts w:cs="Arial"/>
              </w:rPr>
              <w:t>Where an Assured tenancy has been “demoted” by court order due to ASB</w:t>
            </w:r>
          </w:p>
          <w:p w:rsidR="00090FBB" w:rsidRDefault="00090FBB" w:rsidP="003D0C46">
            <w:pPr>
              <w:numPr>
                <w:ilvl w:val="0"/>
                <w:numId w:val="6"/>
              </w:numPr>
              <w:tabs>
                <w:tab w:val="clear" w:pos="900"/>
                <w:tab w:val="num" w:pos="252"/>
              </w:tabs>
              <w:ind w:left="252" w:hanging="252"/>
              <w:jc w:val="both"/>
              <w:rPr>
                <w:rFonts w:cs="Arial"/>
              </w:rPr>
            </w:pPr>
            <w:r>
              <w:rPr>
                <w:rFonts w:cs="Arial"/>
              </w:rPr>
              <w:t>Customers renting privately on either an intermediate market rent or a full market rent</w:t>
            </w:r>
          </w:p>
          <w:p w:rsidR="00F313CE" w:rsidRPr="00AE33FE" w:rsidRDefault="00F313CE" w:rsidP="003D0C46">
            <w:pPr>
              <w:numPr>
                <w:ilvl w:val="0"/>
                <w:numId w:val="6"/>
              </w:numPr>
              <w:tabs>
                <w:tab w:val="clear" w:pos="900"/>
                <w:tab w:val="num" w:pos="252"/>
              </w:tabs>
              <w:ind w:left="252" w:hanging="900"/>
              <w:jc w:val="both"/>
              <w:rPr>
                <w:rFonts w:cs="Arial"/>
              </w:rPr>
            </w:pPr>
          </w:p>
        </w:tc>
      </w:tr>
      <w:tr w:rsidR="00F313CE" w:rsidRPr="00AE33FE" w:rsidTr="00512B8E">
        <w:tc>
          <w:tcPr>
            <w:tcW w:w="2268" w:type="dxa"/>
          </w:tcPr>
          <w:p w:rsidR="00F313CE" w:rsidRPr="00AE33FE" w:rsidRDefault="00F313CE" w:rsidP="00512B8E">
            <w:pPr>
              <w:rPr>
                <w:rFonts w:cs="Arial"/>
              </w:rPr>
            </w:pPr>
            <w:r w:rsidRPr="00AE33FE">
              <w:rPr>
                <w:rFonts w:cs="Arial"/>
              </w:rPr>
              <w:t xml:space="preserve">Assured </w:t>
            </w:r>
            <w:r>
              <w:rPr>
                <w:rFonts w:cs="Arial"/>
              </w:rPr>
              <w:t>(</w:t>
            </w:r>
            <w:r w:rsidRPr="00AE33FE">
              <w:rPr>
                <w:rFonts w:cs="Arial"/>
              </w:rPr>
              <w:t>Non- Shorthold</w:t>
            </w:r>
            <w:r>
              <w:rPr>
                <w:rFonts w:cs="Arial"/>
              </w:rPr>
              <w:t>)</w:t>
            </w:r>
            <w:r w:rsidRPr="00AE33FE">
              <w:rPr>
                <w:rFonts w:cs="Arial"/>
              </w:rPr>
              <w:t>Tenancy</w:t>
            </w:r>
          </w:p>
        </w:tc>
        <w:tc>
          <w:tcPr>
            <w:tcW w:w="6254" w:type="dxa"/>
          </w:tcPr>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Existing customers with this type of tenancy who are transferring to another of our properties.</w:t>
            </w:r>
          </w:p>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 xml:space="preserve">Customers who are moving to </w:t>
            </w:r>
            <w:r>
              <w:rPr>
                <w:rFonts w:cs="Arial"/>
              </w:rPr>
              <w:t>GreenSquare</w:t>
            </w:r>
            <w:r w:rsidRPr="00AE33FE">
              <w:rPr>
                <w:rFonts w:cs="Arial"/>
              </w:rPr>
              <w:t xml:space="preserve"> from another social housing provider where they have an existing tenancy of this type or other form of tenancy protection.</w:t>
            </w:r>
          </w:p>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 xml:space="preserve">All customers within </w:t>
            </w:r>
            <w:r>
              <w:rPr>
                <w:rFonts w:cs="Arial"/>
              </w:rPr>
              <w:t>a</w:t>
            </w:r>
            <w:r w:rsidRPr="00AE33FE">
              <w:rPr>
                <w:rFonts w:cs="Arial"/>
              </w:rPr>
              <w:t>ge defined General Nee</w:t>
            </w:r>
            <w:r w:rsidR="009C1EB0">
              <w:rPr>
                <w:rFonts w:cs="Arial"/>
              </w:rPr>
              <w:t>ds housing or Sheltered Housing who are not on a Starter Tenancy</w:t>
            </w:r>
          </w:p>
          <w:p w:rsidR="00E46B2D" w:rsidRPr="00E46B2D" w:rsidRDefault="00F313CE" w:rsidP="00E46B2D">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Some customer</w:t>
            </w:r>
            <w:r w:rsidR="00E46B2D">
              <w:rPr>
                <w:rFonts w:cs="Arial"/>
              </w:rPr>
              <w:t>s who we define as ‘Vulnerable’</w:t>
            </w:r>
            <w:r w:rsidR="00E46B2D">
              <w:rPr>
                <w:rFonts w:cs="Arial"/>
                <w:color w:val="FF0000"/>
              </w:rPr>
              <w:t xml:space="preserve"> </w:t>
            </w:r>
          </w:p>
          <w:p w:rsidR="00F313CE" w:rsidRPr="00E46B2D" w:rsidRDefault="00E46B2D" w:rsidP="00F313CE">
            <w:pPr>
              <w:numPr>
                <w:ilvl w:val="0"/>
                <w:numId w:val="6"/>
              </w:numPr>
              <w:tabs>
                <w:tab w:val="clear" w:pos="900"/>
                <w:tab w:val="num" w:pos="284"/>
              </w:tabs>
              <w:overflowPunct/>
              <w:autoSpaceDE/>
              <w:autoSpaceDN/>
              <w:adjustRightInd/>
              <w:ind w:left="284" w:hanging="284"/>
              <w:textAlignment w:val="auto"/>
              <w:rPr>
                <w:rFonts w:cs="Arial"/>
              </w:rPr>
            </w:pPr>
            <w:r w:rsidRPr="00E46B2D">
              <w:rPr>
                <w:rFonts w:cs="Arial"/>
              </w:rPr>
              <w:lastRenderedPageBreak/>
              <w:t>Some customers supported in shared housing</w:t>
            </w:r>
            <w:r w:rsidR="00F313CE" w:rsidRPr="00E46B2D">
              <w:rPr>
                <w:rFonts w:cs="Arial"/>
              </w:rPr>
              <w:t xml:space="preserve"> </w:t>
            </w:r>
          </w:p>
          <w:p w:rsidR="00F313CE" w:rsidRPr="00AE33FE" w:rsidRDefault="00F313CE" w:rsidP="00512B8E">
            <w:pPr>
              <w:overflowPunct/>
              <w:autoSpaceDE/>
              <w:autoSpaceDN/>
              <w:adjustRightInd/>
              <w:textAlignment w:val="auto"/>
              <w:rPr>
                <w:rFonts w:cs="Arial"/>
              </w:rPr>
            </w:pPr>
          </w:p>
        </w:tc>
      </w:tr>
      <w:tr w:rsidR="00F313CE" w:rsidRPr="00AE33FE" w:rsidTr="00512B8E">
        <w:tc>
          <w:tcPr>
            <w:tcW w:w="2268" w:type="dxa"/>
          </w:tcPr>
          <w:p w:rsidR="00F313CE" w:rsidRPr="00E51CF5" w:rsidRDefault="00F313CE" w:rsidP="00512B8E">
            <w:pPr>
              <w:rPr>
                <w:rFonts w:cs="Arial"/>
              </w:rPr>
            </w:pPr>
            <w:r w:rsidRPr="00E51CF5">
              <w:lastRenderedPageBreak/>
              <w:t>Equitable Tenanc</w:t>
            </w:r>
            <w:r w:rsidR="00950DD0">
              <w:t>y</w:t>
            </w:r>
          </w:p>
        </w:tc>
        <w:tc>
          <w:tcPr>
            <w:tcW w:w="6254" w:type="dxa"/>
          </w:tcPr>
          <w:p w:rsidR="00F313CE" w:rsidRPr="00627DD9" w:rsidRDefault="00F313CE" w:rsidP="00F313CE">
            <w:pPr>
              <w:numPr>
                <w:ilvl w:val="0"/>
                <w:numId w:val="7"/>
              </w:numPr>
              <w:overflowPunct/>
              <w:autoSpaceDE/>
              <w:autoSpaceDN/>
              <w:adjustRightInd/>
              <w:jc w:val="both"/>
              <w:textAlignment w:val="auto"/>
              <w:rPr>
                <w:rFonts w:cs="Arial"/>
              </w:rPr>
            </w:pPr>
            <w:r>
              <w:rPr>
                <w:rFonts w:cs="Arial"/>
              </w:rPr>
              <w:t xml:space="preserve">Given to customers </w:t>
            </w:r>
            <w:r w:rsidRPr="00627DD9">
              <w:rPr>
                <w:rFonts w:cs="Arial"/>
              </w:rPr>
              <w:t>under 18 years of age and convert</w:t>
            </w:r>
            <w:r w:rsidR="003E180A">
              <w:rPr>
                <w:rFonts w:cs="Arial"/>
              </w:rPr>
              <w:t>ing</w:t>
            </w:r>
            <w:r w:rsidRPr="00627DD9">
              <w:rPr>
                <w:rFonts w:cs="Arial"/>
              </w:rPr>
              <w:t xml:space="preserve"> to Assured at the tenants 18</w:t>
            </w:r>
            <w:r w:rsidRPr="00627DD9">
              <w:rPr>
                <w:rFonts w:cs="Arial"/>
                <w:vertAlign w:val="superscript"/>
              </w:rPr>
              <w:t>th</w:t>
            </w:r>
            <w:r w:rsidRPr="00627DD9">
              <w:rPr>
                <w:rFonts w:cs="Arial"/>
              </w:rPr>
              <w:t xml:space="preserve"> birthday.</w:t>
            </w:r>
          </w:p>
          <w:p w:rsidR="00F313CE" w:rsidRPr="00AE33FE" w:rsidRDefault="00F313CE" w:rsidP="00512B8E">
            <w:pPr>
              <w:overflowPunct/>
              <w:autoSpaceDE/>
              <w:autoSpaceDN/>
              <w:adjustRightInd/>
              <w:textAlignment w:val="auto"/>
              <w:rPr>
                <w:rFonts w:cs="Arial"/>
              </w:rPr>
            </w:pPr>
          </w:p>
        </w:tc>
      </w:tr>
      <w:tr w:rsidR="00F313CE" w:rsidRPr="00AE33FE" w:rsidTr="00512B8E">
        <w:tc>
          <w:tcPr>
            <w:tcW w:w="2268" w:type="dxa"/>
          </w:tcPr>
          <w:p w:rsidR="00F313CE" w:rsidRPr="00AE33FE" w:rsidRDefault="00F313CE" w:rsidP="00512B8E">
            <w:pPr>
              <w:rPr>
                <w:rFonts w:cs="Arial"/>
              </w:rPr>
            </w:pPr>
            <w:r w:rsidRPr="00AE33FE">
              <w:rPr>
                <w:rFonts w:cs="Arial"/>
              </w:rPr>
              <w:t>Starter Tenancy</w:t>
            </w:r>
            <w:r w:rsidR="003E180A">
              <w:rPr>
                <w:rFonts w:cs="Arial"/>
              </w:rPr>
              <w:t xml:space="preserve"> (converting to Assured after 12 months subject to satisfactory conduct)</w:t>
            </w:r>
          </w:p>
        </w:tc>
        <w:tc>
          <w:tcPr>
            <w:tcW w:w="6254" w:type="dxa"/>
          </w:tcPr>
          <w:p w:rsidR="00F313C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sidRPr="00AE33FE">
              <w:rPr>
                <w:rFonts w:cs="Arial"/>
              </w:rPr>
              <w:t xml:space="preserve">New customers who will be living in a local authority area who have indicated through their tenancy </w:t>
            </w:r>
            <w:r>
              <w:rPr>
                <w:rFonts w:cs="Arial"/>
              </w:rPr>
              <w:t>strategy</w:t>
            </w:r>
            <w:r w:rsidRPr="00AE33FE">
              <w:rPr>
                <w:rFonts w:cs="Arial"/>
              </w:rPr>
              <w:t xml:space="preserve"> that they wish </w:t>
            </w:r>
            <w:r w:rsidR="0096231A">
              <w:rPr>
                <w:rFonts w:cs="Arial"/>
              </w:rPr>
              <w:t xml:space="preserve">us </w:t>
            </w:r>
            <w:r w:rsidRPr="00AE33FE">
              <w:rPr>
                <w:rFonts w:cs="Arial"/>
              </w:rPr>
              <w:t>to use starter tenancies.</w:t>
            </w:r>
          </w:p>
          <w:p w:rsidR="00E46B2D" w:rsidRDefault="00F313CE" w:rsidP="00E46B2D">
            <w:pPr>
              <w:numPr>
                <w:ilvl w:val="0"/>
                <w:numId w:val="6"/>
              </w:numPr>
              <w:tabs>
                <w:tab w:val="clear" w:pos="900"/>
                <w:tab w:val="num" w:pos="284"/>
              </w:tabs>
              <w:overflowPunct/>
              <w:autoSpaceDE/>
              <w:autoSpaceDN/>
              <w:adjustRightInd/>
              <w:ind w:left="284" w:hanging="284"/>
              <w:textAlignment w:val="auto"/>
              <w:rPr>
                <w:rFonts w:cs="Arial"/>
              </w:rPr>
            </w:pPr>
            <w:r>
              <w:rPr>
                <w:rFonts w:cs="Arial"/>
              </w:rPr>
              <w:t xml:space="preserve">New customers </w:t>
            </w:r>
            <w:r w:rsidRPr="00627DD9">
              <w:rPr>
                <w:rFonts w:cs="Arial"/>
              </w:rPr>
              <w:t xml:space="preserve">over the age of 18 who have not previously held an Assured tenancy with a Social </w:t>
            </w:r>
            <w:r w:rsidR="00E46B2D">
              <w:rPr>
                <w:rFonts w:cs="Arial"/>
              </w:rPr>
              <w:t>Landlord</w:t>
            </w:r>
          </w:p>
          <w:p w:rsidR="00E46B2D" w:rsidRPr="00E46B2D" w:rsidRDefault="00E46B2D" w:rsidP="00E46B2D">
            <w:pPr>
              <w:numPr>
                <w:ilvl w:val="0"/>
                <w:numId w:val="6"/>
              </w:numPr>
              <w:tabs>
                <w:tab w:val="clear" w:pos="900"/>
                <w:tab w:val="num" w:pos="284"/>
              </w:tabs>
              <w:overflowPunct/>
              <w:autoSpaceDE/>
              <w:autoSpaceDN/>
              <w:adjustRightInd/>
              <w:ind w:left="284" w:hanging="284"/>
              <w:textAlignment w:val="auto"/>
              <w:rPr>
                <w:rFonts w:cs="Arial"/>
              </w:rPr>
            </w:pPr>
            <w:r w:rsidRPr="00E46B2D">
              <w:rPr>
                <w:rFonts w:cs="Arial"/>
              </w:rPr>
              <w:t xml:space="preserve">Some supported </w:t>
            </w:r>
            <w:r>
              <w:rPr>
                <w:rFonts w:cs="Arial"/>
              </w:rPr>
              <w:t>customers</w:t>
            </w:r>
            <w:r w:rsidRPr="00E46B2D">
              <w:rPr>
                <w:rFonts w:cs="Arial"/>
              </w:rPr>
              <w:t xml:space="preserve"> in shared housing</w:t>
            </w:r>
          </w:p>
          <w:p w:rsidR="00F313CE" w:rsidRPr="00AE33FE" w:rsidRDefault="00F313CE" w:rsidP="00512B8E">
            <w:pPr>
              <w:overflowPunct/>
              <w:autoSpaceDE/>
              <w:autoSpaceDN/>
              <w:adjustRightInd/>
              <w:textAlignment w:val="auto"/>
              <w:rPr>
                <w:rFonts w:cs="Arial"/>
              </w:rPr>
            </w:pPr>
            <w:r w:rsidRPr="00AE33FE">
              <w:rPr>
                <w:rFonts w:cs="Arial"/>
              </w:rPr>
              <w:t xml:space="preserve"> </w:t>
            </w:r>
          </w:p>
        </w:tc>
      </w:tr>
      <w:tr w:rsidR="00F313CE" w:rsidRPr="00AE33FE" w:rsidTr="00512B8E">
        <w:tc>
          <w:tcPr>
            <w:tcW w:w="2268" w:type="dxa"/>
          </w:tcPr>
          <w:p w:rsidR="00F313CE" w:rsidRDefault="00F313CE" w:rsidP="00512B8E">
            <w:pPr>
              <w:rPr>
                <w:rFonts w:cs="Arial"/>
              </w:rPr>
            </w:pPr>
            <w:r>
              <w:rPr>
                <w:rFonts w:cs="Arial"/>
              </w:rPr>
              <w:t>Affordable Rent Tenancy</w:t>
            </w:r>
          </w:p>
          <w:p w:rsidR="00950DD0" w:rsidRDefault="00950DD0" w:rsidP="00512B8E">
            <w:pPr>
              <w:rPr>
                <w:rFonts w:cs="Arial"/>
              </w:rPr>
            </w:pPr>
          </w:p>
          <w:p w:rsidR="00950DD0" w:rsidRPr="00AE33FE" w:rsidRDefault="00950DD0" w:rsidP="00512B8E">
            <w:pPr>
              <w:rPr>
                <w:rFonts w:cs="Arial"/>
              </w:rPr>
            </w:pPr>
          </w:p>
        </w:tc>
        <w:tc>
          <w:tcPr>
            <w:tcW w:w="6254" w:type="dxa"/>
          </w:tcPr>
          <w:p w:rsidR="00F313CE" w:rsidRPr="00AE33FE" w:rsidRDefault="00F313CE" w:rsidP="00F313CE">
            <w:pPr>
              <w:numPr>
                <w:ilvl w:val="0"/>
                <w:numId w:val="6"/>
              </w:numPr>
              <w:tabs>
                <w:tab w:val="clear" w:pos="900"/>
                <w:tab w:val="num" w:pos="284"/>
              </w:tabs>
              <w:overflowPunct/>
              <w:autoSpaceDE/>
              <w:autoSpaceDN/>
              <w:adjustRightInd/>
              <w:ind w:left="284" w:hanging="284"/>
              <w:textAlignment w:val="auto"/>
              <w:rPr>
                <w:rFonts w:cs="Arial"/>
              </w:rPr>
            </w:pPr>
            <w:r>
              <w:rPr>
                <w:rFonts w:cs="Arial"/>
              </w:rPr>
              <w:t xml:space="preserve">New customers paying an </w:t>
            </w:r>
            <w:r w:rsidR="0060165B">
              <w:rPr>
                <w:rFonts w:cs="Arial"/>
              </w:rPr>
              <w:t>A</w:t>
            </w:r>
            <w:r>
              <w:rPr>
                <w:rFonts w:cs="Arial"/>
              </w:rPr>
              <w:t xml:space="preserve">ffordable </w:t>
            </w:r>
            <w:r w:rsidR="0060165B">
              <w:rPr>
                <w:rFonts w:cs="Arial"/>
              </w:rPr>
              <w:t>R</w:t>
            </w:r>
            <w:r>
              <w:rPr>
                <w:rFonts w:cs="Arial"/>
              </w:rPr>
              <w:t>ent under the terms of GreenSquare’s development contract with the Homes and Communities Agency (HCA)</w:t>
            </w:r>
          </w:p>
        </w:tc>
      </w:tr>
      <w:tr w:rsidR="00950DD0" w:rsidRPr="00AE33FE" w:rsidTr="00512B8E">
        <w:tc>
          <w:tcPr>
            <w:tcW w:w="2268" w:type="dxa"/>
          </w:tcPr>
          <w:p w:rsidR="00950DD0" w:rsidRDefault="00950DD0" w:rsidP="00512B8E">
            <w:pPr>
              <w:rPr>
                <w:rFonts w:cs="Arial"/>
              </w:rPr>
            </w:pPr>
            <w:r>
              <w:rPr>
                <w:rFonts w:cs="Arial"/>
              </w:rPr>
              <w:t>Family Intervention Tenancy</w:t>
            </w:r>
          </w:p>
        </w:tc>
        <w:tc>
          <w:tcPr>
            <w:tcW w:w="6254" w:type="dxa"/>
          </w:tcPr>
          <w:p w:rsidR="00950DD0" w:rsidRDefault="0096231A" w:rsidP="00F313CE">
            <w:pPr>
              <w:numPr>
                <w:ilvl w:val="0"/>
                <w:numId w:val="6"/>
              </w:numPr>
              <w:tabs>
                <w:tab w:val="clear" w:pos="900"/>
                <w:tab w:val="num" w:pos="284"/>
              </w:tabs>
              <w:ind w:left="284" w:hanging="284"/>
              <w:rPr>
                <w:rFonts w:cs="Arial"/>
              </w:rPr>
            </w:pPr>
            <w:r>
              <w:rPr>
                <w:rFonts w:cs="Arial"/>
              </w:rPr>
              <w:t>To avoid</w:t>
            </w:r>
            <w:r w:rsidR="00950DD0">
              <w:rPr>
                <w:rFonts w:cs="Arial"/>
              </w:rPr>
              <w:t xml:space="preserve"> a customer </w:t>
            </w:r>
            <w:r>
              <w:rPr>
                <w:rFonts w:cs="Arial"/>
              </w:rPr>
              <w:t>b</w:t>
            </w:r>
            <w:r w:rsidR="00950DD0">
              <w:rPr>
                <w:rFonts w:cs="Arial"/>
              </w:rPr>
              <w:t>e</w:t>
            </w:r>
            <w:r>
              <w:rPr>
                <w:rFonts w:cs="Arial"/>
              </w:rPr>
              <w:t>ing</w:t>
            </w:r>
            <w:r w:rsidR="00950DD0">
              <w:rPr>
                <w:rFonts w:cs="Arial"/>
              </w:rPr>
              <w:t xml:space="preserve"> evicted</w:t>
            </w:r>
            <w:r>
              <w:rPr>
                <w:rFonts w:cs="Arial"/>
              </w:rPr>
              <w:t xml:space="preserve"> for</w:t>
            </w:r>
            <w:r w:rsidR="00950DD0">
              <w:rPr>
                <w:rFonts w:cs="Arial"/>
              </w:rPr>
              <w:t xml:space="preserve"> ASB</w:t>
            </w:r>
          </w:p>
          <w:p w:rsidR="00950DD0" w:rsidRDefault="00950DD0" w:rsidP="00F313CE">
            <w:pPr>
              <w:numPr>
                <w:ilvl w:val="0"/>
                <w:numId w:val="6"/>
              </w:numPr>
              <w:tabs>
                <w:tab w:val="clear" w:pos="900"/>
                <w:tab w:val="num" w:pos="284"/>
              </w:tabs>
              <w:ind w:left="284" w:hanging="284"/>
              <w:rPr>
                <w:rFonts w:cs="Arial"/>
              </w:rPr>
            </w:pPr>
            <w:r>
              <w:rPr>
                <w:rFonts w:cs="Arial"/>
              </w:rPr>
              <w:t>To support the provision of behaviour support services</w:t>
            </w:r>
          </w:p>
          <w:p w:rsidR="00950DD0" w:rsidRDefault="00950DD0" w:rsidP="00950DD0">
            <w:pPr>
              <w:rPr>
                <w:rFonts w:cs="Arial"/>
              </w:rPr>
            </w:pPr>
          </w:p>
        </w:tc>
      </w:tr>
      <w:tr w:rsidR="003E180A" w:rsidRPr="00AE33FE" w:rsidTr="00512B8E">
        <w:tc>
          <w:tcPr>
            <w:tcW w:w="2268" w:type="dxa"/>
          </w:tcPr>
          <w:p w:rsidR="003E180A" w:rsidRDefault="003E180A" w:rsidP="00512B8E">
            <w:pPr>
              <w:rPr>
                <w:rFonts w:cs="Arial"/>
              </w:rPr>
            </w:pPr>
            <w:r>
              <w:rPr>
                <w:rFonts w:cs="Arial"/>
              </w:rPr>
              <w:t>Mortgage Rescue Tenancy (3 year fixed term assured shorthold)</w:t>
            </w:r>
          </w:p>
          <w:p w:rsidR="006A5146" w:rsidRDefault="006A5146" w:rsidP="00512B8E">
            <w:pPr>
              <w:rPr>
                <w:rFonts w:cs="Arial"/>
              </w:rPr>
            </w:pPr>
          </w:p>
        </w:tc>
        <w:tc>
          <w:tcPr>
            <w:tcW w:w="6254" w:type="dxa"/>
          </w:tcPr>
          <w:p w:rsidR="003E180A" w:rsidRDefault="003E180A" w:rsidP="00F313CE">
            <w:pPr>
              <w:numPr>
                <w:ilvl w:val="0"/>
                <w:numId w:val="6"/>
              </w:numPr>
              <w:tabs>
                <w:tab w:val="clear" w:pos="900"/>
                <w:tab w:val="num" w:pos="284"/>
              </w:tabs>
              <w:ind w:left="284" w:hanging="284"/>
              <w:rPr>
                <w:rFonts w:cs="Arial"/>
              </w:rPr>
            </w:pPr>
            <w:r>
              <w:rPr>
                <w:rFonts w:cs="Arial"/>
              </w:rPr>
              <w:t xml:space="preserve">For </w:t>
            </w:r>
            <w:r w:rsidR="00BF06A8">
              <w:rPr>
                <w:rFonts w:cs="Arial"/>
              </w:rPr>
              <w:t xml:space="preserve">new </w:t>
            </w:r>
            <w:r>
              <w:rPr>
                <w:rFonts w:cs="Arial"/>
              </w:rPr>
              <w:t xml:space="preserve">customers </w:t>
            </w:r>
            <w:r w:rsidR="00BF06A8">
              <w:rPr>
                <w:rFonts w:cs="Arial"/>
              </w:rPr>
              <w:t xml:space="preserve">referred </w:t>
            </w:r>
            <w:r w:rsidR="00C80BD5">
              <w:rPr>
                <w:rFonts w:cs="Arial"/>
              </w:rPr>
              <w:t xml:space="preserve">to us </w:t>
            </w:r>
            <w:r w:rsidR="00BF06A8">
              <w:rPr>
                <w:rFonts w:cs="Arial"/>
              </w:rPr>
              <w:t>via</w:t>
            </w:r>
            <w:r>
              <w:rPr>
                <w:rFonts w:cs="Arial"/>
              </w:rPr>
              <w:t xml:space="preserve"> the government’s mortgage rescue scheme.</w:t>
            </w:r>
          </w:p>
        </w:tc>
      </w:tr>
      <w:tr w:rsidR="006A5146" w:rsidRPr="00AE33FE" w:rsidTr="00512B8E">
        <w:tc>
          <w:tcPr>
            <w:tcW w:w="2268" w:type="dxa"/>
          </w:tcPr>
          <w:p w:rsidR="006A5146" w:rsidRDefault="006A5146" w:rsidP="00512B8E">
            <w:pPr>
              <w:rPr>
                <w:rFonts w:cs="Arial"/>
              </w:rPr>
            </w:pPr>
            <w:r>
              <w:rPr>
                <w:rFonts w:cs="Arial"/>
              </w:rPr>
              <w:t>Shared Ownership Lease</w:t>
            </w:r>
          </w:p>
        </w:tc>
        <w:tc>
          <w:tcPr>
            <w:tcW w:w="6254" w:type="dxa"/>
          </w:tcPr>
          <w:p w:rsidR="006A5146" w:rsidRDefault="006A5146" w:rsidP="00F313CE">
            <w:pPr>
              <w:numPr>
                <w:ilvl w:val="0"/>
                <w:numId w:val="6"/>
              </w:numPr>
              <w:tabs>
                <w:tab w:val="clear" w:pos="900"/>
                <w:tab w:val="num" w:pos="284"/>
              </w:tabs>
              <w:ind w:left="284" w:hanging="284"/>
              <w:rPr>
                <w:rFonts w:cs="Arial"/>
              </w:rPr>
            </w:pPr>
            <w:r>
              <w:rPr>
                <w:rFonts w:cs="Arial"/>
              </w:rPr>
              <w:t>New customers purchasing a property on a shared ownership basis</w:t>
            </w:r>
          </w:p>
          <w:p w:rsidR="006A5146" w:rsidRDefault="006A5146" w:rsidP="006A5146">
            <w:pPr>
              <w:rPr>
                <w:rFonts w:cs="Arial"/>
              </w:rPr>
            </w:pPr>
          </w:p>
        </w:tc>
      </w:tr>
      <w:tr w:rsidR="006A5146" w:rsidRPr="00AE33FE" w:rsidTr="00512B8E">
        <w:tc>
          <w:tcPr>
            <w:tcW w:w="2268" w:type="dxa"/>
          </w:tcPr>
          <w:p w:rsidR="006A5146" w:rsidRDefault="006A5146" w:rsidP="00512B8E">
            <w:pPr>
              <w:rPr>
                <w:rFonts w:cs="Arial"/>
              </w:rPr>
            </w:pPr>
            <w:r>
              <w:rPr>
                <w:rFonts w:cs="Arial"/>
              </w:rPr>
              <w:t>Private Owners Lease</w:t>
            </w:r>
          </w:p>
        </w:tc>
        <w:tc>
          <w:tcPr>
            <w:tcW w:w="6254" w:type="dxa"/>
          </w:tcPr>
          <w:p w:rsidR="006A5146" w:rsidRDefault="006A5146" w:rsidP="00F313CE">
            <w:pPr>
              <w:numPr>
                <w:ilvl w:val="0"/>
                <w:numId w:val="6"/>
              </w:numPr>
              <w:tabs>
                <w:tab w:val="clear" w:pos="900"/>
                <w:tab w:val="num" w:pos="284"/>
              </w:tabs>
              <w:ind w:left="284" w:hanging="284"/>
              <w:rPr>
                <w:rFonts w:cs="Arial"/>
              </w:rPr>
            </w:pPr>
            <w:r>
              <w:rPr>
                <w:rFonts w:cs="Arial"/>
              </w:rPr>
              <w:t>Customers who have purchased their flat outright.</w:t>
            </w:r>
          </w:p>
        </w:tc>
      </w:tr>
    </w:tbl>
    <w:p w:rsidR="00F313CE" w:rsidRPr="00AE33FE" w:rsidRDefault="00F313CE" w:rsidP="00F313CE">
      <w:pPr>
        <w:rPr>
          <w:rFonts w:cs="Arial"/>
        </w:rPr>
      </w:pPr>
    </w:p>
    <w:p w:rsidR="00F313CE" w:rsidRDefault="00F313CE" w:rsidP="00F313CE"/>
    <w:p w:rsidR="00F313CE" w:rsidRDefault="00F313CE" w:rsidP="000A3249">
      <w:pPr>
        <w:pStyle w:val="Header"/>
        <w:tabs>
          <w:tab w:val="clear" w:pos="4153"/>
          <w:tab w:val="clear" w:pos="8306"/>
        </w:tabs>
        <w:rPr>
          <w:b/>
        </w:rPr>
      </w:pPr>
    </w:p>
    <w:p w:rsidR="000A3249" w:rsidRPr="000D7B1C" w:rsidRDefault="00C80BD5" w:rsidP="000A3249">
      <w:pPr>
        <w:pStyle w:val="Header"/>
        <w:tabs>
          <w:tab w:val="clear" w:pos="4153"/>
          <w:tab w:val="clear" w:pos="8306"/>
        </w:tabs>
        <w:rPr>
          <w:b/>
        </w:rPr>
      </w:pPr>
      <w:r>
        <w:rPr>
          <w:b/>
        </w:rPr>
        <w:t>5. Pre-tenancy</w:t>
      </w:r>
      <w:bookmarkEnd w:id="3"/>
    </w:p>
    <w:p w:rsidR="000A3249" w:rsidRPr="000D7B1C" w:rsidRDefault="000A3249" w:rsidP="000A3249">
      <w:pPr>
        <w:pStyle w:val="Header"/>
        <w:tabs>
          <w:tab w:val="clear" w:pos="4153"/>
          <w:tab w:val="clear" w:pos="8306"/>
        </w:tabs>
        <w:rPr>
          <w:b/>
        </w:rPr>
      </w:pPr>
    </w:p>
    <w:bookmarkEnd w:id="2"/>
    <w:p w:rsidR="000A3249" w:rsidRDefault="00C80BD5" w:rsidP="000A3249">
      <w:pPr>
        <w:pStyle w:val="Header"/>
        <w:tabs>
          <w:tab w:val="clear" w:pos="4153"/>
          <w:tab w:val="clear" w:pos="8306"/>
        </w:tabs>
        <w:rPr>
          <w:bCs/>
        </w:rPr>
      </w:pPr>
      <w:r>
        <w:rPr>
          <w:bCs/>
        </w:rPr>
        <w:t xml:space="preserve">Before starting a tenancy we will </w:t>
      </w:r>
      <w:r w:rsidR="008635E3">
        <w:rPr>
          <w:bCs/>
        </w:rPr>
        <w:t>evaluate</w:t>
      </w:r>
      <w:r>
        <w:rPr>
          <w:bCs/>
        </w:rPr>
        <w:t xml:space="preserve"> the personal circumstances of new customer</w:t>
      </w:r>
      <w:r w:rsidR="008635E3">
        <w:rPr>
          <w:bCs/>
        </w:rPr>
        <w:t>s</w:t>
      </w:r>
      <w:r>
        <w:rPr>
          <w:bCs/>
        </w:rPr>
        <w:t xml:space="preserve"> in order</w:t>
      </w:r>
      <w:r w:rsidR="008635E3">
        <w:rPr>
          <w:bCs/>
        </w:rPr>
        <w:t xml:space="preserve"> to assess the risk to tenancy sustainment and whether support can be provided, internally or externally, to enable them </w:t>
      </w:r>
      <w:r w:rsidR="006A5146">
        <w:rPr>
          <w:bCs/>
        </w:rPr>
        <w:t xml:space="preserve">to </w:t>
      </w:r>
      <w:r w:rsidR="008635E3">
        <w:rPr>
          <w:bCs/>
        </w:rPr>
        <w:t>ma</w:t>
      </w:r>
      <w:r w:rsidR="003C72A8">
        <w:rPr>
          <w:bCs/>
        </w:rPr>
        <w:t>intain</w:t>
      </w:r>
      <w:r w:rsidR="008635E3">
        <w:rPr>
          <w:bCs/>
        </w:rPr>
        <w:t xml:space="preserve"> their tenancy effectively.</w:t>
      </w:r>
    </w:p>
    <w:p w:rsidR="008635E3" w:rsidRPr="000D7B1C" w:rsidRDefault="008635E3" w:rsidP="000A3249">
      <w:pPr>
        <w:pStyle w:val="Header"/>
        <w:tabs>
          <w:tab w:val="clear" w:pos="4153"/>
          <w:tab w:val="clear" w:pos="8306"/>
        </w:tabs>
        <w:rPr>
          <w:bCs/>
        </w:rPr>
      </w:pPr>
    </w:p>
    <w:p w:rsidR="000A3249" w:rsidRPr="000D7B1C" w:rsidRDefault="000A3249" w:rsidP="000A3249">
      <w:pPr>
        <w:pStyle w:val="Header"/>
        <w:tabs>
          <w:tab w:val="clear" w:pos="4153"/>
          <w:tab w:val="clear" w:pos="8306"/>
        </w:tabs>
        <w:rPr>
          <w:b/>
          <w:bCs/>
        </w:rPr>
      </w:pPr>
      <w:bookmarkStart w:id="5" w:name="mutualexchanges"/>
      <w:r w:rsidRPr="000D7B1C">
        <w:rPr>
          <w:b/>
          <w:bCs/>
        </w:rPr>
        <w:t xml:space="preserve">6. </w:t>
      </w:r>
      <w:r w:rsidR="00F3664A">
        <w:rPr>
          <w:b/>
          <w:bCs/>
        </w:rPr>
        <w:t>Tenancy management</w:t>
      </w:r>
      <w:bookmarkEnd w:id="5"/>
    </w:p>
    <w:p w:rsidR="000A3249" w:rsidRPr="000D7B1C" w:rsidRDefault="000A3249" w:rsidP="000A3249">
      <w:pPr>
        <w:pStyle w:val="Header"/>
        <w:tabs>
          <w:tab w:val="clear" w:pos="4153"/>
          <w:tab w:val="clear" w:pos="8306"/>
        </w:tabs>
        <w:rPr>
          <w:b/>
          <w:bCs/>
        </w:rPr>
      </w:pPr>
    </w:p>
    <w:p w:rsidR="003C72A8" w:rsidRDefault="00CF7BCE" w:rsidP="000A3249">
      <w:pPr>
        <w:pStyle w:val="Header"/>
        <w:tabs>
          <w:tab w:val="clear" w:pos="4153"/>
          <w:tab w:val="clear" w:pos="8306"/>
        </w:tabs>
        <w:rPr>
          <w:bCs/>
        </w:rPr>
      </w:pPr>
      <w:r>
        <w:rPr>
          <w:bCs/>
        </w:rPr>
        <w:t xml:space="preserve">Most new customers will be given a Starter Tenancy Agreement </w:t>
      </w:r>
      <w:r w:rsidR="0079409A">
        <w:rPr>
          <w:bCs/>
        </w:rPr>
        <w:t xml:space="preserve">(Assured Shorthold) </w:t>
      </w:r>
      <w:r>
        <w:rPr>
          <w:bCs/>
        </w:rPr>
        <w:t xml:space="preserve">which, subject to satisfactory conduct, will automatically convert to an </w:t>
      </w:r>
      <w:r>
        <w:rPr>
          <w:bCs/>
        </w:rPr>
        <w:lastRenderedPageBreak/>
        <w:t xml:space="preserve">Assured </w:t>
      </w:r>
      <w:r w:rsidR="0079409A">
        <w:rPr>
          <w:bCs/>
        </w:rPr>
        <w:t xml:space="preserve">periodic </w:t>
      </w:r>
      <w:r>
        <w:rPr>
          <w:bCs/>
        </w:rPr>
        <w:t xml:space="preserve">tenancy after 12 months. </w:t>
      </w:r>
      <w:r w:rsidR="00EC1250">
        <w:rPr>
          <w:bCs/>
        </w:rPr>
        <w:t xml:space="preserve">Further details are in our </w:t>
      </w:r>
      <w:r w:rsidR="001B5699">
        <w:rPr>
          <w:bCs/>
        </w:rPr>
        <w:t>S</w:t>
      </w:r>
      <w:r w:rsidR="00EC1250">
        <w:rPr>
          <w:bCs/>
        </w:rPr>
        <w:t xml:space="preserve">tarter Tenancy Procedure. </w:t>
      </w:r>
      <w:r w:rsidR="003C72A8">
        <w:rPr>
          <w:bCs/>
        </w:rPr>
        <w:t xml:space="preserve">Customers can appeal against our decision not to convert under GreenSquare’s </w:t>
      </w:r>
      <w:r w:rsidR="00715390">
        <w:rPr>
          <w:bCs/>
        </w:rPr>
        <w:t>C</w:t>
      </w:r>
      <w:r w:rsidR="003C72A8">
        <w:rPr>
          <w:bCs/>
        </w:rPr>
        <w:t>omplaints</w:t>
      </w:r>
      <w:r w:rsidR="0079409A">
        <w:rPr>
          <w:bCs/>
        </w:rPr>
        <w:t xml:space="preserve"> policy. </w:t>
      </w:r>
    </w:p>
    <w:p w:rsidR="0079409A" w:rsidRDefault="0079409A" w:rsidP="000A3249">
      <w:pPr>
        <w:pStyle w:val="Header"/>
        <w:tabs>
          <w:tab w:val="clear" w:pos="4153"/>
          <w:tab w:val="clear" w:pos="8306"/>
        </w:tabs>
        <w:rPr>
          <w:bCs/>
        </w:rPr>
      </w:pPr>
    </w:p>
    <w:p w:rsidR="007F0FBB" w:rsidRDefault="007F0FBB" w:rsidP="000A3249">
      <w:pPr>
        <w:pStyle w:val="Header"/>
        <w:tabs>
          <w:tab w:val="clear" w:pos="4153"/>
          <w:tab w:val="clear" w:pos="8306"/>
        </w:tabs>
        <w:rPr>
          <w:bCs/>
        </w:rPr>
      </w:pPr>
      <w:r>
        <w:rPr>
          <w:bCs/>
        </w:rPr>
        <w:t xml:space="preserve">We aim to support </w:t>
      </w:r>
      <w:r w:rsidR="00007148">
        <w:rPr>
          <w:bCs/>
        </w:rPr>
        <w:t xml:space="preserve">all </w:t>
      </w:r>
      <w:r>
        <w:rPr>
          <w:bCs/>
        </w:rPr>
        <w:t>our customers to maintain their tenancies successfully. Our Tenancy Sustainment</w:t>
      </w:r>
      <w:r w:rsidR="001B5699">
        <w:rPr>
          <w:bCs/>
        </w:rPr>
        <w:t xml:space="preserve"> and 55+</w:t>
      </w:r>
      <w:r>
        <w:rPr>
          <w:bCs/>
        </w:rPr>
        <w:t xml:space="preserve"> Team</w:t>
      </w:r>
      <w:r w:rsidR="001B5699">
        <w:rPr>
          <w:bCs/>
        </w:rPr>
        <w:t>s</w:t>
      </w:r>
      <w:r>
        <w:rPr>
          <w:bCs/>
        </w:rPr>
        <w:t xml:space="preserve"> will play</w:t>
      </w:r>
      <w:r w:rsidR="00007148">
        <w:rPr>
          <w:bCs/>
        </w:rPr>
        <w:t xml:space="preserve"> a key role in achieving this. We will refer customers to appropriate external agencies if necessary.</w:t>
      </w:r>
    </w:p>
    <w:p w:rsidR="007F0FBB" w:rsidRDefault="007F0FBB" w:rsidP="000A3249">
      <w:pPr>
        <w:pStyle w:val="Header"/>
        <w:tabs>
          <w:tab w:val="clear" w:pos="4153"/>
          <w:tab w:val="clear" w:pos="8306"/>
        </w:tabs>
        <w:rPr>
          <w:bCs/>
        </w:rPr>
      </w:pPr>
    </w:p>
    <w:p w:rsidR="0079409A" w:rsidRDefault="001C3085" w:rsidP="000A3249">
      <w:pPr>
        <w:pStyle w:val="Header"/>
        <w:tabs>
          <w:tab w:val="clear" w:pos="4153"/>
          <w:tab w:val="clear" w:pos="8306"/>
        </w:tabs>
        <w:rPr>
          <w:bCs/>
        </w:rPr>
      </w:pPr>
      <w:r>
        <w:rPr>
          <w:bCs/>
        </w:rPr>
        <w:t xml:space="preserve">We will make sure that the home continues to be occupied by the </w:t>
      </w:r>
      <w:r w:rsidR="00901A6E">
        <w:rPr>
          <w:bCs/>
        </w:rPr>
        <w:t>customer</w:t>
      </w:r>
      <w:r>
        <w:rPr>
          <w:bCs/>
        </w:rPr>
        <w:t xml:space="preserve"> we have let the home to in accordance with the requirements of the relevant tenancy agreement. </w:t>
      </w:r>
      <w:r w:rsidR="0079409A">
        <w:rPr>
          <w:bCs/>
        </w:rPr>
        <w:t xml:space="preserve">We will seek to address breaches </w:t>
      </w:r>
      <w:r w:rsidR="007F0FBB">
        <w:rPr>
          <w:bCs/>
        </w:rPr>
        <w:t>of</w:t>
      </w:r>
      <w:r w:rsidR="0079409A">
        <w:rPr>
          <w:bCs/>
        </w:rPr>
        <w:t xml:space="preserve"> tenancy agreements through co-operation </w:t>
      </w:r>
      <w:r>
        <w:rPr>
          <w:bCs/>
        </w:rPr>
        <w:t>with</w:t>
      </w:r>
      <w:r w:rsidR="0079409A">
        <w:rPr>
          <w:bCs/>
        </w:rPr>
        <w:t xml:space="preserve"> our customers</w:t>
      </w:r>
      <w:r w:rsidR="007F0FBB">
        <w:rPr>
          <w:bCs/>
        </w:rPr>
        <w:t>. If necessary we will use legal action as a remedy; ensuring that legal notices are served correctly and within appropriate timescales. Eviction will only be used when all other remedies have failed.</w:t>
      </w:r>
    </w:p>
    <w:p w:rsidR="0079409A" w:rsidRDefault="0079409A" w:rsidP="000A3249">
      <w:pPr>
        <w:pStyle w:val="Header"/>
        <w:tabs>
          <w:tab w:val="clear" w:pos="4153"/>
          <w:tab w:val="clear" w:pos="8306"/>
        </w:tabs>
        <w:rPr>
          <w:bCs/>
        </w:rPr>
      </w:pPr>
    </w:p>
    <w:p w:rsidR="00900EBB" w:rsidRDefault="00900EBB" w:rsidP="00900EBB">
      <w:pPr>
        <w:pStyle w:val="BodyText"/>
        <w:rPr>
          <w:b/>
        </w:rPr>
      </w:pPr>
      <w:r>
        <w:rPr>
          <w:b/>
        </w:rPr>
        <w:t>7. Mutual Exchanges</w:t>
      </w:r>
    </w:p>
    <w:p w:rsidR="00900EBB" w:rsidRDefault="00900EBB" w:rsidP="00900EBB">
      <w:pPr>
        <w:pStyle w:val="BodyText"/>
      </w:pPr>
      <w:r>
        <w:t>We</w:t>
      </w:r>
      <w:r w:rsidRPr="00900EBB">
        <w:t xml:space="preserve"> subscribe to the internet</w:t>
      </w:r>
      <w:r>
        <w:t>-</w:t>
      </w:r>
      <w:r w:rsidRPr="00900EBB">
        <w:t>based</w:t>
      </w:r>
      <w:r>
        <w:t>,</w:t>
      </w:r>
      <w:r w:rsidRPr="00900EBB">
        <w:t xml:space="preserve"> national “</w:t>
      </w:r>
      <w:r>
        <w:t>H</w:t>
      </w:r>
      <w:r w:rsidRPr="00900EBB">
        <w:t xml:space="preserve">omeswapper” mutual exchange scheme </w:t>
      </w:r>
      <w:r>
        <w:t>in order to facilitate mobility and support existing customers who wish to swap tenancies with other social housing tenants.</w:t>
      </w:r>
      <w:r w:rsidR="00AF6997">
        <w:t xml:space="preserve">  Further details are in our Mutual Exchange Procedure.</w:t>
      </w:r>
    </w:p>
    <w:p w:rsidR="00C46E57" w:rsidRPr="006B3CB9" w:rsidRDefault="006B3CB9" w:rsidP="006B3CB9">
      <w:pPr>
        <w:pStyle w:val="BodyText"/>
        <w:rPr>
          <w:b/>
        </w:rPr>
      </w:pPr>
      <w:r w:rsidRPr="006B3CB9">
        <w:rPr>
          <w:b/>
        </w:rPr>
        <w:t>8. Succession</w:t>
      </w:r>
    </w:p>
    <w:p w:rsidR="00C46E57" w:rsidRPr="006B3CB9" w:rsidRDefault="00C46E57" w:rsidP="00C46E57">
      <w:pPr>
        <w:pStyle w:val="Default"/>
        <w:rPr>
          <w:rFonts w:ascii="Arial" w:hAnsi="Arial" w:cs="Arial"/>
        </w:rPr>
      </w:pPr>
      <w:r w:rsidRPr="006B3CB9">
        <w:rPr>
          <w:rFonts w:ascii="Arial" w:hAnsi="Arial" w:cs="Arial"/>
        </w:rPr>
        <w:t xml:space="preserve">Joint tenants will succeed to the tenancy by survivorship. Married or civil partners (or those living as the tenant’s married or civil partner) have the right of statutory succession. We will grant one contractual right </w:t>
      </w:r>
      <w:r w:rsidR="006B3CB9">
        <w:rPr>
          <w:rFonts w:ascii="Arial" w:hAnsi="Arial" w:cs="Arial"/>
        </w:rPr>
        <w:t>of</w:t>
      </w:r>
      <w:r w:rsidRPr="006B3CB9">
        <w:rPr>
          <w:rFonts w:ascii="Arial" w:hAnsi="Arial" w:cs="Arial"/>
        </w:rPr>
        <w:t xml:space="preserve"> succession to qualifying family members through the tenancy agreement unless it specifies an additional right.</w:t>
      </w:r>
    </w:p>
    <w:p w:rsidR="0079409A" w:rsidRDefault="00C46E57" w:rsidP="006B3CB9">
      <w:pPr>
        <w:pStyle w:val="Default"/>
        <w:rPr>
          <w:bCs/>
        </w:rPr>
      </w:pPr>
      <w:r w:rsidRPr="006B3CB9">
        <w:t xml:space="preserve">We </w:t>
      </w:r>
      <w:r w:rsidR="000C0282">
        <w:t>may</w:t>
      </w:r>
      <w:r w:rsidR="000D7C90">
        <w:t xml:space="preserve"> exercise our</w:t>
      </w:r>
      <w:r w:rsidRPr="006B3CB9">
        <w:t xml:space="preserve"> right</w:t>
      </w:r>
      <w:r w:rsidR="000C0282">
        <w:t>,</w:t>
      </w:r>
      <w:r w:rsidR="000D7C90">
        <w:t xml:space="preserve"> on limited occasions</w:t>
      </w:r>
      <w:r w:rsidR="000C0282">
        <w:t>,</w:t>
      </w:r>
      <w:r w:rsidRPr="006B3CB9">
        <w:t xml:space="preserve"> to make a discretionary succession to a person who is not entitled to succeed to the tenancy. </w:t>
      </w:r>
      <w:r w:rsidR="006B3CB9">
        <w:t>Further details are in our Succession Procedure.</w:t>
      </w:r>
    </w:p>
    <w:p w:rsidR="000A3249" w:rsidRDefault="000A3249" w:rsidP="000A3249">
      <w:pPr>
        <w:pStyle w:val="Header"/>
        <w:tabs>
          <w:tab w:val="clear" w:pos="4153"/>
          <w:tab w:val="clear" w:pos="8306"/>
        </w:tabs>
      </w:pPr>
    </w:p>
    <w:p w:rsidR="000A3249" w:rsidRDefault="006B3CB9" w:rsidP="000A3249">
      <w:pPr>
        <w:rPr>
          <w:b/>
        </w:rPr>
      </w:pPr>
      <w:r>
        <w:rPr>
          <w:b/>
        </w:rPr>
        <w:t>9</w:t>
      </w:r>
      <w:r w:rsidR="000A3249">
        <w:rPr>
          <w:b/>
        </w:rPr>
        <w:t>. Equality &amp; Diversity</w:t>
      </w:r>
    </w:p>
    <w:p w:rsidR="000A3249" w:rsidRDefault="000A3249" w:rsidP="000A3249">
      <w:pPr>
        <w:rPr>
          <w:b/>
        </w:rPr>
      </w:pPr>
    </w:p>
    <w:p w:rsidR="00246597" w:rsidRDefault="000A3249" w:rsidP="000A3249">
      <w:r>
        <w:t xml:space="preserve">This policy will be carried out in conjunction with GreenSquare’s Equality &amp; Diversity Strategy and has been subject to an Equality Impact Assessment. In short, we will ensure that no person or group of persons will be treated less favourably than another person or group of persons on account of any diversity strand. We will also ensure our residents have fair access to our </w:t>
      </w:r>
      <w:r w:rsidR="00715390">
        <w:t>tenancy</w:t>
      </w:r>
      <w:r>
        <w:t xml:space="preserve"> service and provide translation services for community languages when required.</w:t>
      </w:r>
    </w:p>
    <w:p w:rsidR="00246597" w:rsidRDefault="00246597" w:rsidP="000A3249"/>
    <w:p w:rsidR="00246597" w:rsidRDefault="00246597" w:rsidP="00246597">
      <w:pPr>
        <w:pStyle w:val="Header"/>
        <w:tabs>
          <w:tab w:val="clear" w:pos="4153"/>
          <w:tab w:val="clear" w:pos="8306"/>
        </w:tabs>
        <w:rPr>
          <w:rFonts w:cs="Arial"/>
          <w:b/>
          <w:bCs/>
        </w:rPr>
      </w:pPr>
      <w:r>
        <w:rPr>
          <w:rFonts w:cs="Arial"/>
          <w:b/>
          <w:bCs/>
        </w:rPr>
        <w:t>10</w:t>
      </w:r>
      <w:r w:rsidRPr="00E84808">
        <w:rPr>
          <w:rFonts w:cs="Arial"/>
          <w:b/>
          <w:bCs/>
        </w:rPr>
        <w:t xml:space="preserve">. </w:t>
      </w:r>
      <w:r>
        <w:rPr>
          <w:rFonts w:cs="Arial"/>
          <w:b/>
          <w:bCs/>
        </w:rPr>
        <w:t>Monitoring and review</w:t>
      </w:r>
    </w:p>
    <w:p w:rsidR="00246597" w:rsidRDefault="00246597" w:rsidP="00246597">
      <w:pPr>
        <w:pStyle w:val="Header"/>
        <w:tabs>
          <w:tab w:val="clear" w:pos="4153"/>
          <w:tab w:val="clear" w:pos="8306"/>
        </w:tabs>
        <w:rPr>
          <w:rFonts w:cs="Arial"/>
          <w:b/>
          <w:bCs/>
        </w:rPr>
      </w:pPr>
    </w:p>
    <w:p w:rsidR="00246597" w:rsidRDefault="00246597" w:rsidP="00246597">
      <w:pPr>
        <w:pStyle w:val="Header"/>
        <w:tabs>
          <w:tab w:val="clear" w:pos="4153"/>
          <w:tab w:val="clear" w:pos="8306"/>
        </w:tabs>
        <w:rPr>
          <w:rFonts w:cs="Arial"/>
        </w:rPr>
      </w:pPr>
      <w:r w:rsidRPr="009E15B3">
        <w:rPr>
          <w:rFonts w:cs="Arial"/>
          <w:bCs/>
        </w:rPr>
        <w:t>We will monitor performance and report performance and customer satisfaction to GreenSquare Board and Communities Boards</w:t>
      </w:r>
      <w:r>
        <w:rPr>
          <w:rFonts w:cs="Arial"/>
          <w:bCs/>
        </w:rPr>
        <w:t xml:space="preserve"> as </w:t>
      </w:r>
      <w:r w:rsidR="006A5146">
        <w:rPr>
          <w:rFonts w:cs="Arial"/>
          <w:bCs/>
        </w:rPr>
        <w:t xml:space="preserve">required. </w:t>
      </w:r>
      <w:r>
        <w:rPr>
          <w:rFonts w:cs="Arial"/>
        </w:rPr>
        <w:t xml:space="preserve">The Policy will be reviewed on a bi-annual basis, unless there are significant changes in legislation </w:t>
      </w:r>
      <w:r>
        <w:rPr>
          <w:rFonts w:cs="Arial"/>
        </w:rPr>
        <w:lastRenderedPageBreak/>
        <w:t>or there are found to be any deficiencies or learning points from a complaint, or findings from any independent organisation.</w:t>
      </w:r>
    </w:p>
    <w:p w:rsidR="00246597" w:rsidRDefault="00246597" w:rsidP="00246597">
      <w:pPr>
        <w:pStyle w:val="Header"/>
        <w:tabs>
          <w:tab w:val="clear" w:pos="4153"/>
          <w:tab w:val="clear" w:pos="8306"/>
        </w:tabs>
        <w:rPr>
          <w:rFonts w:cs="Arial"/>
        </w:rPr>
      </w:pPr>
    </w:p>
    <w:p w:rsidR="00246597" w:rsidRDefault="00246597" w:rsidP="00246597">
      <w:pPr>
        <w:pStyle w:val="Header"/>
        <w:tabs>
          <w:tab w:val="clear" w:pos="4153"/>
          <w:tab w:val="clear" w:pos="8306"/>
        </w:tabs>
        <w:rPr>
          <w:b/>
          <w:bCs/>
        </w:rPr>
      </w:pPr>
      <w:r>
        <w:rPr>
          <w:b/>
          <w:bCs/>
        </w:rPr>
        <w:t>9. Value for Money</w:t>
      </w:r>
    </w:p>
    <w:p w:rsidR="00246597" w:rsidRDefault="00246597" w:rsidP="00246597">
      <w:pPr>
        <w:pStyle w:val="Header"/>
        <w:tabs>
          <w:tab w:val="clear" w:pos="4153"/>
          <w:tab w:val="clear" w:pos="8306"/>
        </w:tabs>
        <w:rPr>
          <w:b/>
          <w:bCs/>
        </w:rPr>
      </w:pPr>
    </w:p>
    <w:p w:rsidR="000A3249" w:rsidRDefault="00246597" w:rsidP="00246597">
      <w:pPr>
        <w:pStyle w:val="Header"/>
        <w:tabs>
          <w:tab w:val="clear" w:pos="4153"/>
          <w:tab w:val="clear" w:pos="8306"/>
        </w:tabs>
      </w:pPr>
      <w:r>
        <w:t>As part of our commitment to deliver an economical, efficient and effective service, we will use external benchmarking services and best practice groups</w:t>
      </w:r>
      <w:r w:rsidRPr="007F7C92">
        <w:t xml:space="preserve"> </w:t>
      </w:r>
      <w:r>
        <w:t>to monitor our costs and service outcomes.</w:t>
      </w:r>
      <w:r w:rsidR="000A3249">
        <w:t xml:space="preserve"> </w:t>
      </w:r>
    </w:p>
    <w:p w:rsidR="000A3249" w:rsidRDefault="000A3249" w:rsidP="000A3249"/>
    <w:p w:rsidR="000A3249" w:rsidRPr="000D7B1C" w:rsidRDefault="000A3249" w:rsidP="000A3249">
      <w:pPr>
        <w:pStyle w:val="Header"/>
        <w:tabs>
          <w:tab w:val="clear" w:pos="4153"/>
          <w:tab w:val="clear" w:pos="8306"/>
        </w:tabs>
        <w:rPr>
          <w:b/>
          <w:bCs/>
        </w:rPr>
      </w:pPr>
    </w:p>
    <w:p w:rsidR="000A3249" w:rsidRDefault="000A3249"/>
    <w:sectPr w:rsidR="000A3249" w:rsidSect="000A3249">
      <w:headerReference w:type="default" r:id="rId7"/>
      <w:footerReference w:type="default" r:id="rId8"/>
      <w:pgSz w:w="11906" w:h="16838"/>
      <w:pgMar w:top="1797" w:right="1800" w:bottom="107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F3" w:rsidRDefault="00D04DF3">
      <w:r>
        <w:separator/>
      </w:r>
    </w:p>
  </w:endnote>
  <w:endnote w:type="continuationSeparator" w:id="0">
    <w:p w:rsidR="00D04DF3" w:rsidRDefault="00D04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raxisEFOP-Regular">
    <w:altName w:val="PraxisEFOP-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9" w:rsidRDefault="001B5699">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E537B4">
      <w:rPr>
        <w:noProof/>
        <w:lang w:val="en-US"/>
      </w:rPr>
      <w:t>1</w:t>
    </w:r>
    <w:r>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F3" w:rsidRDefault="00D04DF3">
      <w:r>
        <w:separator/>
      </w:r>
    </w:p>
  </w:footnote>
  <w:footnote w:type="continuationSeparator" w:id="0">
    <w:p w:rsidR="00D04DF3" w:rsidRDefault="00D04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9" w:rsidRDefault="00E537B4">
    <w:pPr>
      <w:pStyle w:val="Header"/>
    </w:pPr>
    <w:r>
      <w:rPr>
        <w:noProof/>
        <w:lang w:val="en-US"/>
      </w:rPr>
      <w:drawing>
        <wp:anchor distT="0" distB="0" distL="114300" distR="114300" simplePos="0" relativeHeight="251657728" behindDoc="0" locked="0" layoutInCell="1" allowOverlap="1">
          <wp:simplePos x="0" y="0"/>
          <wp:positionH relativeFrom="column">
            <wp:posOffset>4253865</wp:posOffset>
          </wp:positionH>
          <wp:positionV relativeFrom="paragraph">
            <wp:posOffset>-106680</wp:posOffset>
          </wp:positionV>
          <wp:extent cx="1060450" cy="1257300"/>
          <wp:effectExtent l="19050" t="0" r="6350" b="0"/>
          <wp:wrapSquare wrapText="bothSides"/>
          <wp:docPr id="1" name="Picture 1" descr="GreenSquare_mon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quare_mono copy"/>
                  <pic:cNvPicPr>
                    <a:picLocks noChangeAspect="1" noChangeArrowheads="1"/>
                  </pic:cNvPicPr>
                </pic:nvPicPr>
                <pic:blipFill>
                  <a:blip r:embed="rId1"/>
                  <a:srcRect/>
                  <a:stretch>
                    <a:fillRect/>
                  </a:stretch>
                </pic:blipFill>
                <pic:spPr bwMode="auto">
                  <a:xfrm>
                    <a:off x="0" y="0"/>
                    <a:ext cx="1060450" cy="1257300"/>
                  </a:xfrm>
                  <a:prstGeom prst="rect">
                    <a:avLst/>
                  </a:prstGeom>
                  <a:noFill/>
                  <a:ln w="9525">
                    <a:noFill/>
                    <a:miter lim="800000"/>
                    <a:headEnd/>
                    <a:tailEnd/>
                  </a:ln>
                </pic:spPr>
              </pic:pic>
            </a:graphicData>
          </a:graphic>
        </wp:anchor>
      </w:drawing>
    </w:r>
  </w:p>
  <w:p w:rsidR="001B5699" w:rsidRDefault="001B5699">
    <w:pPr>
      <w:pStyle w:val="Header"/>
    </w:pPr>
  </w:p>
  <w:p w:rsidR="001B5699" w:rsidRDefault="001B5699">
    <w:pPr>
      <w:pStyle w:val="Header"/>
    </w:pPr>
  </w:p>
  <w:p w:rsidR="001B5699" w:rsidRDefault="001B5699">
    <w:pPr>
      <w:pStyle w:val="Header"/>
      <w:rPr>
        <w:b/>
        <w:bCs/>
        <w:sz w:val="32"/>
      </w:rPr>
    </w:pPr>
    <w:r>
      <w:rPr>
        <w:b/>
        <w:bCs/>
        <w:sz w:val="32"/>
      </w:rPr>
      <w:t>GreenSquare Tenancy Policy</w:t>
    </w:r>
  </w:p>
  <w:p w:rsidR="001B5699" w:rsidRDefault="001B5699">
    <w:pPr>
      <w:pStyle w:val="Header"/>
    </w:pPr>
  </w:p>
  <w:p w:rsidR="001B5699" w:rsidRDefault="001B5699">
    <w:pPr>
      <w:pStyle w:val="Header"/>
    </w:pPr>
  </w:p>
  <w:p w:rsidR="001B5699" w:rsidRDefault="001B5699">
    <w:pPr>
      <w:pStyle w:val="Header"/>
    </w:pPr>
  </w:p>
  <w:p w:rsidR="001B5699" w:rsidRDefault="001B5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BE4"/>
    <w:multiLevelType w:val="hybridMultilevel"/>
    <w:tmpl w:val="8DB24A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BE166B1"/>
    <w:multiLevelType w:val="hybridMultilevel"/>
    <w:tmpl w:val="E16C7236"/>
    <w:lvl w:ilvl="0" w:tplc="57F6DBB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nsid w:val="258C205D"/>
    <w:multiLevelType w:val="hybridMultilevel"/>
    <w:tmpl w:val="99BA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FC7671"/>
    <w:multiLevelType w:val="hybridMultilevel"/>
    <w:tmpl w:val="533CA8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53901350"/>
    <w:multiLevelType w:val="hybridMultilevel"/>
    <w:tmpl w:val="B5A05380"/>
    <w:lvl w:ilvl="0" w:tplc="57F6DBBE">
      <w:start w:val="1"/>
      <w:numFmt w:val="bullet"/>
      <w:lvlText w:val=""/>
      <w:lvlJc w:val="left"/>
      <w:pPr>
        <w:tabs>
          <w:tab w:val="num" w:pos="900"/>
        </w:tabs>
        <w:ind w:left="90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4D119A8"/>
    <w:multiLevelType w:val="hybridMultilevel"/>
    <w:tmpl w:val="CD363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045410"/>
    <w:multiLevelType w:val="hybridMultilevel"/>
    <w:tmpl w:val="2F320E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5DA84BEF"/>
    <w:multiLevelType w:val="multilevel"/>
    <w:tmpl w:val="71C2AB16"/>
    <w:lvl w:ilvl="0">
      <w:start w:val="1"/>
      <w:numFmt w:val="decimal"/>
      <w:lvlText w:val="%1."/>
      <w:lvlJc w:val="left"/>
      <w:pPr>
        <w:tabs>
          <w:tab w:val="num" w:pos="360"/>
        </w:tabs>
        <w:ind w:left="360" w:hanging="360"/>
      </w:pPr>
      <w:rPr>
        <w:rFonts w:ascii="Arial" w:hAnsi="Arial"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797260B"/>
    <w:multiLevelType w:val="hybridMultilevel"/>
    <w:tmpl w:val="A9BE54B0"/>
    <w:lvl w:ilvl="0" w:tplc="255EF556">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0A3249"/>
    <w:rsid w:val="00007148"/>
    <w:rsid w:val="00011BA1"/>
    <w:rsid w:val="00015D00"/>
    <w:rsid w:val="00043151"/>
    <w:rsid w:val="000668AA"/>
    <w:rsid w:val="000838E0"/>
    <w:rsid w:val="00090FBB"/>
    <w:rsid w:val="00095D92"/>
    <w:rsid w:val="000A3249"/>
    <w:rsid w:val="000A7743"/>
    <w:rsid w:val="000C0282"/>
    <w:rsid w:val="000D7C90"/>
    <w:rsid w:val="00114606"/>
    <w:rsid w:val="00121E27"/>
    <w:rsid w:val="001A42EE"/>
    <w:rsid w:val="001B5699"/>
    <w:rsid w:val="001B7F6E"/>
    <w:rsid w:val="001C3085"/>
    <w:rsid w:val="001D7252"/>
    <w:rsid w:val="00243DA2"/>
    <w:rsid w:val="00246597"/>
    <w:rsid w:val="00276A3E"/>
    <w:rsid w:val="00347C5F"/>
    <w:rsid w:val="00362D17"/>
    <w:rsid w:val="00397667"/>
    <w:rsid w:val="003C2A41"/>
    <w:rsid w:val="003C72A8"/>
    <w:rsid w:val="003D0C46"/>
    <w:rsid w:val="003E180A"/>
    <w:rsid w:val="00417830"/>
    <w:rsid w:val="00446231"/>
    <w:rsid w:val="00482F69"/>
    <w:rsid w:val="004B76E6"/>
    <w:rsid w:val="004E033D"/>
    <w:rsid w:val="00512B8E"/>
    <w:rsid w:val="005155B5"/>
    <w:rsid w:val="005C0074"/>
    <w:rsid w:val="0060165B"/>
    <w:rsid w:val="006A5146"/>
    <w:rsid w:val="006B3CB9"/>
    <w:rsid w:val="006E2B9B"/>
    <w:rsid w:val="00715390"/>
    <w:rsid w:val="00740E2F"/>
    <w:rsid w:val="00757158"/>
    <w:rsid w:val="0079267F"/>
    <w:rsid w:val="0079409A"/>
    <w:rsid w:val="007A3083"/>
    <w:rsid w:val="007C5551"/>
    <w:rsid w:val="007D176A"/>
    <w:rsid w:val="007E0D31"/>
    <w:rsid w:val="007F0FBB"/>
    <w:rsid w:val="007F1B65"/>
    <w:rsid w:val="007F65EB"/>
    <w:rsid w:val="00844DEB"/>
    <w:rsid w:val="0085597F"/>
    <w:rsid w:val="008635E3"/>
    <w:rsid w:val="00872337"/>
    <w:rsid w:val="008A397E"/>
    <w:rsid w:val="008C1AE6"/>
    <w:rsid w:val="008F7210"/>
    <w:rsid w:val="00900EBB"/>
    <w:rsid w:val="00901A6E"/>
    <w:rsid w:val="00932856"/>
    <w:rsid w:val="0094676D"/>
    <w:rsid w:val="00950DD0"/>
    <w:rsid w:val="0096231A"/>
    <w:rsid w:val="009C1EB0"/>
    <w:rsid w:val="009D4C7A"/>
    <w:rsid w:val="00A03B42"/>
    <w:rsid w:val="00A73794"/>
    <w:rsid w:val="00AF6997"/>
    <w:rsid w:val="00BD42EF"/>
    <w:rsid w:val="00BF06A8"/>
    <w:rsid w:val="00C46E57"/>
    <w:rsid w:val="00C80BD5"/>
    <w:rsid w:val="00C900BA"/>
    <w:rsid w:val="00CF7BCE"/>
    <w:rsid w:val="00D04DF3"/>
    <w:rsid w:val="00D86BFD"/>
    <w:rsid w:val="00DA43EF"/>
    <w:rsid w:val="00E46B2D"/>
    <w:rsid w:val="00E537B4"/>
    <w:rsid w:val="00EA043C"/>
    <w:rsid w:val="00EC1250"/>
    <w:rsid w:val="00F07394"/>
    <w:rsid w:val="00F313CE"/>
    <w:rsid w:val="00F36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249"/>
    <w:rPr>
      <w:rFonts w:ascii="Arial" w:hAnsi="Arial"/>
      <w:sz w:val="24"/>
      <w:szCs w:val="24"/>
      <w:lang w:val="en-GB"/>
    </w:rPr>
  </w:style>
  <w:style w:type="paragraph" w:styleId="Heading2">
    <w:name w:val="heading 2"/>
    <w:basedOn w:val="Normal"/>
    <w:next w:val="Normal"/>
    <w:qFormat/>
    <w:rsid w:val="000A3249"/>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3249"/>
    <w:pPr>
      <w:tabs>
        <w:tab w:val="center" w:pos="4153"/>
        <w:tab w:val="right" w:pos="8306"/>
      </w:tabs>
    </w:pPr>
  </w:style>
  <w:style w:type="paragraph" w:styleId="Footer">
    <w:name w:val="footer"/>
    <w:basedOn w:val="Normal"/>
    <w:rsid w:val="000A3249"/>
    <w:pPr>
      <w:tabs>
        <w:tab w:val="center" w:pos="4153"/>
        <w:tab w:val="right" w:pos="8306"/>
      </w:tabs>
    </w:pPr>
  </w:style>
  <w:style w:type="table" w:styleId="TableGrid">
    <w:name w:val="Table Grid"/>
    <w:basedOn w:val="TableNormal"/>
    <w:rsid w:val="00F313C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00EBB"/>
    <w:pPr>
      <w:spacing w:after="120"/>
    </w:pPr>
  </w:style>
  <w:style w:type="paragraph" w:customStyle="1" w:styleId="Default">
    <w:name w:val="Default"/>
    <w:rsid w:val="00C46E57"/>
    <w:pPr>
      <w:autoSpaceDE w:val="0"/>
      <w:autoSpaceDN w:val="0"/>
      <w:adjustRightInd w:val="0"/>
    </w:pPr>
    <w:rPr>
      <w:rFonts w:ascii="PraxisEFOP-Regular" w:hAnsi="PraxisEFOP-Regular" w:cs="PraxisEFOP-Regular"/>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226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61820EFFD1EF40A35040FFED4DFC38" ma:contentTypeVersion="1" ma:contentTypeDescription="Create a new document." ma:contentTypeScope="" ma:versionID="28fd86aaf5d5264a197786446887ced2">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WV7TXPWWKJUF-81-136</_dlc_DocId>
    <_dlc_DocIdUrl xmlns="db4e65d0-c548-47f1-a71e-3df71f9930f0">
      <Url>http://appvlivhkp15:11613/council/_layouts/15/DocIdRedir.aspx?ID=WV7TXPWWKJUF-81-136</Url>
      <Description>WV7TXPWWKJUF-81-136</Description>
    </_dlc_DocIdUrl>
    <_dlc_DocIdPersistId xmlns="db4e65d0-c548-47f1-a71e-3df71f9930f0">false</_dlc_DocIdPersistId>
  </documentManagement>
</p:properties>
</file>

<file path=customXml/itemProps1.xml><?xml version="1.0" encoding="utf-8"?>
<ds:datastoreItem xmlns:ds="http://schemas.openxmlformats.org/officeDocument/2006/customXml" ds:itemID="{11369067-DF9A-41CB-8CC5-A26F08D89171}"/>
</file>

<file path=customXml/itemProps2.xml><?xml version="1.0" encoding="utf-8"?>
<ds:datastoreItem xmlns:ds="http://schemas.openxmlformats.org/officeDocument/2006/customXml" ds:itemID="{4E88C4C0-D281-4AFA-B5E4-B469D090A314}"/>
</file>

<file path=customXml/itemProps3.xml><?xml version="1.0" encoding="utf-8"?>
<ds:datastoreItem xmlns:ds="http://schemas.openxmlformats.org/officeDocument/2006/customXml" ds:itemID="{D53E4340-35E0-4947-B661-4772C2735A38}"/>
</file>

<file path=customXml/itemProps4.xml><?xml version="1.0" encoding="utf-8"?>
<ds:datastoreItem xmlns:ds="http://schemas.openxmlformats.org/officeDocument/2006/customXml" ds:itemID="{68041DD3-2885-4AB9-B604-DA8ABA407C01}"/>
</file>

<file path=docProps/app.xml><?xml version="1.0" encoding="utf-8"?>
<Properties xmlns="http://schemas.openxmlformats.org/officeDocument/2006/extended-properties" xmlns:vt="http://schemas.openxmlformats.org/officeDocument/2006/docPropsVTypes">
  <Template>Normal</Template>
  <TotalTime>3</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Effective Date</vt:lpstr>
    </vt:vector>
  </TitlesOfParts>
  <Company>OCHA</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dc:title>
  <dc:subject/>
  <dc:creator>phil.brady</dc:creator>
  <cp:keywords/>
  <dc:description/>
  <cp:lastModifiedBy>Ian Stenner</cp:lastModifiedBy>
  <cp:revision>2</cp:revision>
  <dcterms:created xsi:type="dcterms:W3CDTF">2013-11-29T08:42:00Z</dcterms:created>
  <dcterms:modified xsi:type="dcterms:W3CDTF">2013-11-29T08:42:00Z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0x010100E261820EFFD1EF40A35040FFED4DFC38</vt:lpwstr>
  </property>
  <property fmtid="{D5CDD505-2E9C-101B-9397-08002B2CF9AE}" pid="3" name="_dlc_DocIdItemGuid">
    <vt:lpwstr>69d3aa81-7b92-4eae-8b5b-ab3b80b00c14</vt:lpwstr>
  </property>
  <property fmtid="{D5CDD505-2E9C-101B-9397-08002B2CF9AE}" pid="4" name="Order">
    <vt:r8>13600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