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EF389" w14:textId="77777777" w:rsidR="00997AD4" w:rsidRPr="00331188" w:rsidRDefault="00997AD4">
      <w:pPr>
        <w:spacing w:line="240" w:lineRule="auto"/>
        <w:jc w:val="center"/>
        <w:rPr>
          <w:rFonts w:ascii="Arial" w:hAnsi="Arial" w:cs="Arial"/>
        </w:rPr>
      </w:pPr>
    </w:p>
    <w:p w14:paraId="4D918F22" w14:textId="21FB3E09" w:rsidR="00997AD4" w:rsidRPr="00331188" w:rsidRDefault="00997AD4">
      <w:pPr>
        <w:spacing w:line="240" w:lineRule="auto"/>
        <w:jc w:val="center"/>
        <w:rPr>
          <w:rFonts w:ascii="Arial" w:hAnsi="Arial" w:cs="Arial"/>
        </w:rPr>
      </w:pPr>
    </w:p>
    <w:p w14:paraId="642CE650" w14:textId="19C43210" w:rsidR="00997AD4" w:rsidRPr="00331188" w:rsidRDefault="00997AD4">
      <w:pPr>
        <w:spacing w:line="240" w:lineRule="auto"/>
        <w:rPr>
          <w:rFonts w:ascii="Arial" w:hAnsi="Arial" w:cs="Arial"/>
        </w:rPr>
      </w:pPr>
    </w:p>
    <w:p w14:paraId="298C7889" w14:textId="16C13F8B" w:rsidR="00997AD4" w:rsidRPr="00331188" w:rsidRDefault="00F75199" w:rsidP="00F75199">
      <w:pPr>
        <w:spacing w:line="240" w:lineRule="auto"/>
        <w:jc w:val="center"/>
        <w:rPr>
          <w:rFonts w:ascii="Arial" w:hAnsi="Arial" w:cs="Arial"/>
        </w:rPr>
      </w:pPr>
      <w:r>
        <w:rPr>
          <w:noProof/>
        </w:rPr>
        <w:pict w14:anchorId="622D7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2" type="#_x0000_t75" style="position:absolute;left:0;text-align:left;margin-left:96.95pt;margin-top:2.35pt;width:287.6pt;height:90pt;z-index:2;visibility:visible;mso-wrap-style:square;mso-wrap-distance-left:9pt;mso-wrap-distance-top:0;mso-wrap-distance-right:9pt;mso-wrap-distance-bottom:0;mso-position-horizontal-relative:text;mso-position-vertical-relative:text" filled="t" fillcolor="black">
            <v:imagedata r:id="rId7" o:title="purple-logo" grayscale="t"/>
            <w10:wrap type="square"/>
          </v:shape>
        </w:pict>
      </w:r>
    </w:p>
    <w:p w14:paraId="0CF8E1B6" w14:textId="77777777" w:rsidR="00997AD4" w:rsidRPr="00331188" w:rsidRDefault="00997AD4">
      <w:pPr>
        <w:spacing w:line="240" w:lineRule="auto"/>
        <w:rPr>
          <w:rFonts w:ascii="Arial" w:hAnsi="Arial" w:cs="Arial"/>
        </w:rPr>
      </w:pPr>
    </w:p>
    <w:p w14:paraId="42F7B099" w14:textId="77777777" w:rsidR="00997AD4" w:rsidRPr="00331188" w:rsidRDefault="00997AD4">
      <w:pPr>
        <w:spacing w:line="240" w:lineRule="auto"/>
        <w:rPr>
          <w:rFonts w:ascii="Arial" w:hAnsi="Arial" w:cs="Arial"/>
        </w:rPr>
      </w:pPr>
    </w:p>
    <w:p w14:paraId="333EC13D" w14:textId="77777777" w:rsidR="00997AD4" w:rsidRPr="00331188" w:rsidRDefault="00997AD4">
      <w:pPr>
        <w:spacing w:line="240" w:lineRule="auto"/>
        <w:rPr>
          <w:rFonts w:ascii="Arial" w:hAnsi="Arial" w:cs="Arial"/>
        </w:rPr>
      </w:pPr>
    </w:p>
    <w:p w14:paraId="09880AF8" w14:textId="77777777" w:rsidR="00997AD4" w:rsidRPr="00331188" w:rsidRDefault="00997AD4">
      <w:pPr>
        <w:spacing w:line="240" w:lineRule="auto"/>
        <w:rPr>
          <w:rFonts w:ascii="Arial" w:hAnsi="Arial" w:cs="Arial"/>
        </w:rPr>
      </w:pPr>
    </w:p>
    <w:p w14:paraId="43197C59" w14:textId="77777777" w:rsidR="00997AD4" w:rsidRPr="00331188" w:rsidRDefault="00997AD4">
      <w:pPr>
        <w:spacing w:line="240" w:lineRule="auto"/>
        <w:rPr>
          <w:rFonts w:ascii="Arial" w:hAnsi="Arial" w:cs="Arial"/>
        </w:rPr>
      </w:pPr>
    </w:p>
    <w:p w14:paraId="43C43B46" w14:textId="77777777" w:rsidR="00997AD4" w:rsidRPr="00331188" w:rsidRDefault="00997AD4">
      <w:pPr>
        <w:spacing w:line="240" w:lineRule="auto"/>
        <w:rPr>
          <w:rFonts w:ascii="Arial" w:hAnsi="Arial" w:cs="Arial"/>
        </w:rPr>
      </w:pPr>
    </w:p>
    <w:p w14:paraId="5A22B735" w14:textId="77777777" w:rsidR="00997AD4" w:rsidRPr="00331188" w:rsidRDefault="00997AD4">
      <w:pPr>
        <w:spacing w:line="240" w:lineRule="auto"/>
        <w:rPr>
          <w:rFonts w:ascii="Arial" w:hAnsi="Arial" w:cs="Arial"/>
        </w:rPr>
      </w:pPr>
    </w:p>
    <w:p w14:paraId="00DB50BD" w14:textId="77777777" w:rsidR="00997AD4" w:rsidRPr="00331188" w:rsidRDefault="00997AD4">
      <w:pPr>
        <w:spacing w:line="240" w:lineRule="auto"/>
        <w:rPr>
          <w:rFonts w:ascii="Arial" w:hAnsi="Arial" w:cs="Arial"/>
        </w:rPr>
      </w:pPr>
    </w:p>
    <w:p w14:paraId="78B50606" w14:textId="1732742B" w:rsidR="00997AD4" w:rsidRDefault="00997AD4">
      <w:pPr>
        <w:spacing w:line="240" w:lineRule="auto"/>
        <w:rPr>
          <w:rFonts w:ascii="Arial" w:hAnsi="Arial" w:cs="Arial"/>
        </w:rPr>
      </w:pPr>
    </w:p>
    <w:p w14:paraId="059F46A1" w14:textId="4A653A05" w:rsidR="0065429C" w:rsidRDefault="0065429C">
      <w:pPr>
        <w:spacing w:line="240" w:lineRule="auto"/>
        <w:rPr>
          <w:rFonts w:ascii="Arial" w:hAnsi="Arial" w:cs="Arial"/>
        </w:rPr>
      </w:pPr>
    </w:p>
    <w:p w14:paraId="286FC01D" w14:textId="6229DA65" w:rsidR="0065429C" w:rsidRDefault="0065429C">
      <w:pPr>
        <w:spacing w:line="240" w:lineRule="auto"/>
        <w:rPr>
          <w:rFonts w:ascii="Arial" w:hAnsi="Arial" w:cs="Arial"/>
        </w:rPr>
      </w:pPr>
    </w:p>
    <w:p w14:paraId="7AAC47EE" w14:textId="3E505D3D" w:rsidR="0065429C" w:rsidRDefault="0065429C">
      <w:pPr>
        <w:spacing w:line="240" w:lineRule="auto"/>
        <w:rPr>
          <w:rFonts w:ascii="Arial" w:hAnsi="Arial" w:cs="Arial"/>
        </w:rPr>
      </w:pPr>
    </w:p>
    <w:p w14:paraId="2C15B6AB" w14:textId="580D78DD" w:rsidR="0065429C" w:rsidRDefault="0065429C">
      <w:pPr>
        <w:spacing w:line="240" w:lineRule="auto"/>
        <w:rPr>
          <w:rFonts w:ascii="Arial" w:hAnsi="Arial" w:cs="Arial"/>
        </w:rPr>
      </w:pPr>
    </w:p>
    <w:p w14:paraId="17E29FB6" w14:textId="77777777" w:rsidR="0065429C" w:rsidRPr="00331188" w:rsidRDefault="0065429C">
      <w:pPr>
        <w:spacing w:line="240" w:lineRule="auto"/>
        <w:rPr>
          <w:rFonts w:ascii="Arial" w:hAnsi="Arial" w:cs="Arial"/>
        </w:rPr>
      </w:pPr>
      <w:bookmarkStart w:id="0" w:name="_GoBack"/>
      <w:bookmarkEnd w:id="0"/>
    </w:p>
    <w:p w14:paraId="53B50A31" w14:textId="77777777" w:rsidR="00997AD4" w:rsidRPr="00331188" w:rsidRDefault="00997AD4">
      <w:pPr>
        <w:spacing w:line="240" w:lineRule="auto"/>
        <w:rPr>
          <w:rFonts w:ascii="Arial" w:hAnsi="Arial" w:cs="Arial"/>
        </w:rPr>
      </w:pPr>
    </w:p>
    <w:p w14:paraId="6354E279" w14:textId="77777777" w:rsidR="00997AD4" w:rsidRPr="00331188" w:rsidRDefault="00997AD4">
      <w:pPr>
        <w:spacing w:line="240" w:lineRule="auto"/>
        <w:jc w:val="center"/>
        <w:rPr>
          <w:rFonts w:ascii="Arial" w:hAnsi="Arial" w:cs="Arial"/>
          <w:b/>
          <w:bCs/>
          <w:sz w:val="40"/>
        </w:rPr>
      </w:pPr>
      <w:r w:rsidRPr="00331188">
        <w:rPr>
          <w:rFonts w:ascii="Arial" w:hAnsi="Arial" w:cs="Arial"/>
          <w:b/>
          <w:bCs/>
          <w:sz w:val="40"/>
        </w:rPr>
        <w:t>BYELAWS RELATING TO ACUPUNCTURE, TATTOOING, SEMI-PERMANENT SKIN COLOURING, COSMETIC PIERCING, AND ELECTROLYSIS IN THE CITY OF GLOUCESTER</w:t>
      </w:r>
    </w:p>
    <w:p w14:paraId="4A8132A5" w14:textId="77777777" w:rsidR="00997AD4" w:rsidRPr="00331188" w:rsidRDefault="00997AD4">
      <w:pPr>
        <w:spacing w:line="240" w:lineRule="auto"/>
        <w:jc w:val="center"/>
        <w:rPr>
          <w:rFonts w:ascii="Arial" w:hAnsi="Arial" w:cs="Arial"/>
          <w:b/>
          <w:bCs/>
          <w:sz w:val="40"/>
        </w:rPr>
      </w:pPr>
    </w:p>
    <w:p w14:paraId="5980B2FD" w14:textId="77777777" w:rsidR="00997AD4" w:rsidRPr="00331188" w:rsidRDefault="00997AD4">
      <w:pPr>
        <w:spacing w:line="240" w:lineRule="auto"/>
        <w:jc w:val="center"/>
        <w:rPr>
          <w:rFonts w:ascii="Arial" w:hAnsi="Arial" w:cs="Arial"/>
          <w:b/>
          <w:bCs/>
          <w:sz w:val="40"/>
        </w:rPr>
      </w:pPr>
    </w:p>
    <w:p w14:paraId="395F85F4" w14:textId="77777777" w:rsidR="00997AD4" w:rsidRPr="00331188" w:rsidRDefault="00997AD4">
      <w:pPr>
        <w:jc w:val="center"/>
        <w:rPr>
          <w:rFonts w:ascii="Arial" w:hAnsi="Arial" w:cs="Arial"/>
        </w:rPr>
      </w:pPr>
      <w:r w:rsidRPr="00331188">
        <w:rPr>
          <w:rFonts w:ascii="Arial" w:hAnsi="Arial" w:cs="Arial"/>
        </w:rPr>
        <w:br w:type="page"/>
      </w:r>
      <w:r w:rsidRPr="00331188">
        <w:rPr>
          <w:rFonts w:ascii="Arial" w:hAnsi="Arial" w:cs="Arial"/>
        </w:rPr>
        <w:lastRenderedPageBreak/>
        <w:t xml:space="preserve"> </w:t>
      </w:r>
      <w:r w:rsidR="00492422">
        <w:rPr>
          <w:rFonts w:ascii="Arial" w:hAnsi="Arial" w:cs="Arial"/>
        </w:rPr>
        <w:pict w14:anchorId="272E8364">
          <v:shape id="_x0000_i1026" type="#_x0000_t75" style="width:116.25pt;height:71.25pt">
            <v:imagedata r:id="rId8" o:title=""/>
          </v:shape>
        </w:pict>
      </w:r>
    </w:p>
    <w:p w14:paraId="20A2A6A7" w14:textId="77777777" w:rsidR="00997AD4" w:rsidRPr="00331188" w:rsidRDefault="00997AD4">
      <w:pPr>
        <w:rPr>
          <w:rFonts w:ascii="Arial" w:hAnsi="Arial" w:cs="Arial"/>
        </w:rPr>
      </w:pPr>
    </w:p>
    <w:p w14:paraId="1AE01350" w14:textId="77777777" w:rsidR="00997AD4" w:rsidRPr="00331188" w:rsidRDefault="00997AD4">
      <w:pPr>
        <w:jc w:val="center"/>
        <w:rPr>
          <w:rFonts w:ascii="Arial" w:hAnsi="Arial" w:cs="Arial"/>
          <w:b/>
          <w:bCs/>
          <w:sz w:val="32"/>
        </w:rPr>
      </w:pPr>
      <w:r w:rsidRPr="00331188">
        <w:rPr>
          <w:rFonts w:ascii="Arial" w:hAnsi="Arial" w:cs="Arial"/>
          <w:b/>
          <w:bCs/>
          <w:sz w:val="32"/>
        </w:rPr>
        <w:t>BYELAWS</w:t>
      </w:r>
    </w:p>
    <w:p w14:paraId="215191D9" w14:textId="77777777" w:rsidR="00997AD4" w:rsidRPr="00331188" w:rsidRDefault="00997AD4">
      <w:pPr>
        <w:jc w:val="center"/>
        <w:rPr>
          <w:rFonts w:ascii="Arial" w:hAnsi="Arial" w:cs="Arial"/>
          <w:b/>
          <w:bCs/>
          <w:sz w:val="32"/>
        </w:rPr>
      </w:pPr>
    </w:p>
    <w:p w14:paraId="5154E4A2" w14:textId="77777777" w:rsidR="00997AD4" w:rsidRPr="00331188" w:rsidRDefault="00997AD4">
      <w:pPr>
        <w:jc w:val="center"/>
        <w:rPr>
          <w:rFonts w:ascii="Arial" w:hAnsi="Arial" w:cs="Arial"/>
          <w:b/>
          <w:bCs/>
          <w:sz w:val="36"/>
        </w:rPr>
      </w:pPr>
      <w:r w:rsidRPr="00331188">
        <w:rPr>
          <w:rFonts w:ascii="Arial" w:hAnsi="Arial" w:cs="Arial"/>
          <w:b/>
          <w:bCs/>
          <w:sz w:val="36"/>
        </w:rPr>
        <w:t>Acupuncture, tattooing, semi-permanent skin-colouring,</w:t>
      </w:r>
    </w:p>
    <w:p w14:paraId="40D3FA89" w14:textId="77777777" w:rsidR="00997AD4" w:rsidRPr="00331188" w:rsidRDefault="00997AD4">
      <w:pPr>
        <w:jc w:val="center"/>
        <w:rPr>
          <w:rFonts w:ascii="Arial" w:hAnsi="Arial" w:cs="Arial"/>
          <w:b/>
          <w:bCs/>
          <w:sz w:val="36"/>
        </w:rPr>
      </w:pPr>
      <w:r w:rsidRPr="00331188">
        <w:rPr>
          <w:rFonts w:ascii="Arial" w:hAnsi="Arial" w:cs="Arial"/>
          <w:b/>
          <w:bCs/>
          <w:sz w:val="36"/>
        </w:rPr>
        <w:t>cosmetic piercing and electrolysis</w:t>
      </w:r>
    </w:p>
    <w:p w14:paraId="1F3F31E3" w14:textId="77777777" w:rsidR="00997AD4" w:rsidRPr="00331188" w:rsidRDefault="00997AD4">
      <w:pPr>
        <w:rPr>
          <w:rFonts w:ascii="Arial" w:hAnsi="Arial" w:cs="Arial"/>
        </w:rPr>
      </w:pPr>
    </w:p>
    <w:p w14:paraId="56699C51" w14:textId="77777777" w:rsidR="00997AD4" w:rsidRPr="00331188" w:rsidRDefault="00997AD4">
      <w:pPr>
        <w:spacing w:line="240" w:lineRule="auto"/>
        <w:rPr>
          <w:rFonts w:ascii="Arial" w:hAnsi="Arial" w:cs="Arial"/>
          <w:sz w:val="24"/>
        </w:rPr>
      </w:pPr>
      <w:r w:rsidRPr="00331188">
        <w:rPr>
          <w:rFonts w:ascii="Arial" w:hAnsi="Arial" w:cs="Arial"/>
          <w:sz w:val="24"/>
        </w:rPr>
        <w:t>Byelaws for the purposes of securing the cleanliness of premises registered under sections 14(2) or 15(2) or both of the Local Government (Miscellaneous Provisions) Act 1982 and fittings in such premises and of persons registered under sections 14(1) or 15(1) or both of the Act and persons assisting them and of securing the cleansing and, so far as appropriate, sterilization of instruments, materials and equipment used in connection with the practice of acupuncture or the business of tattooing, semi-permanent skin-colouring, cosmetic piercing or electrolysis, or any two or more of such practice and businesses made by the Council of the City of Gloucester  in pursuance of sections 14(7) or 15(7) or both of the Act.</w:t>
      </w:r>
    </w:p>
    <w:p w14:paraId="2C9EBAE0" w14:textId="77777777" w:rsidR="00997AD4" w:rsidRPr="00331188" w:rsidRDefault="00997AD4">
      <w:pPr>
        <w:spacing w:line="240" w:lineRule="auto"/>
        <w:rPr>
          <w:rFonts w:ascii="Arial" w:hAnsi="Arial" w:cs="Arial"/>
          <w:sz w:val="24"/>
        </w:rPr>
      </w:pPr>
    </w:p>
    <w:p w14:paraId="6073E8FB" w14:textId="77777777" w:rsidR="00997AD4" w:rsidRPr="00331188" w:rsidRDefault="00997AD4">
      <w:pPr>
        <w:spacing w:line="240" w:lineRule="auto"/>
        <w:rPr>
          <w:rFonts w:ascii="Arial" w:hAnsi="Arial" w:cs="Arial"/>
          <w:b/>
          <w:bCs/>
          <w:sz w:val="24"/>
        </w:rPr>
      </w:pPr>
      <w:r w:rsidRPr="00331188">
        <w:rPr>
          <w:rFonts w:ascii="Arial" w:hAnsi="Arial" w:cs="Arial"/>
          <w:b/>
          <w:bCs/>
          <w:sz w:val="24"/>
        </w:rPr>
        <w:t>Interpretation</w:t>
      </w:r>
    </w:p>
    <w:p w14:paraId="59BDDB92" w14:textId="77777777" w:rsidR="00997AD4" w:rsidRPr="00331188" w:rsidRDefault="00997AD4">
      <w:pPr>
        <w:spacing w:line="240" w:lineRule="auto"/>
        <w:rPr>
          <w:rFonts w:ascii="Arial" w:hAnsi="Arial" w:cs="Arial"/>
          <w:sz w:val="24"/>
        </w:rPr>
      </w:pPr>
    </w:p>
    <w:p w14:paraId="639D4994" w14:textId="77777777" w:rsidR="00997AD4" w:rsidRPr="00331188" w:rsidRDefault="00997AD4">
      <w:pPr>
        <w:pStyle w:val="indent2"/>
        <w:rPr>
          <w:rFonts w:ascii="Arial" w:hAnsi="Arial" w:cs="Arial"/>
        </w:rPr>
      </w:pPr>
      <w:r w:rsidRPr="00331188">
        <w:rPr>
          <w:rFonts w:ascii="Arial" w:hAnsi="Arial" w:cs="Arial"/>
        </w:rPr>
        <w:t>1.</w:t>
      </w:r>
      <w:r w:rsidRPr="00331188">
        <w:rPr>
          <w:rFonts w:ascii="Arial" w:hAnsi="Arial" w:cs="Arial"/>
        </w:rPr>
        <w:tab/>
        <w:t>(1)</w:t>
      </w:r>
      <w:r w:rsidRPr="00331188">
        <w:rPr>
          <w:rFonts w:ascii="Arial" w:hAnsi="Arial" w:cs="Arial"/>
        </w:rPr>
        <w:tab/>
        <w:t>In these byelaws, unless the context otherwise requires—</w:t>
      </w:r>
    </w:p>
    <w:p w14:paraId="241C8EEE" w14:textId="77777777" w:rsidR="00997AD4" w:rsidRPr="00331188" w:rsidRDefault="00997AD4">
      <w:pPr>
        <w:rPr>
          <w:rFonts w:ascii="Arial" w:hAnsi="Arial" w:cs="Arial"/>
        </w:rPr>
      </w:pPr>
    </w:p>
    <w:p w14:paraId="76A403F8" w14:textId="77777777" w:rsidR="00997AD4" w:rsidRPr="00331188" w:rsidRDefault="00997AD4">
      <w:pPr>
        <w:pStyle w:val="indent2"/>
        <w:rPr>
          <w:rFonts w:ascii="Arial" w:hAnsi="Arial" w:cs="Arial"/>
        </w:rPr>
      </w:pPr>
      <w:r w:rsidRPr="00331188">
        <w:rPr>
          <w:rFonts w:ascii="Arial" w:hAnsi="Arial" w:cs="Arial"/>
        </w:rPr>
        <w:tab/>
      </w:r>
      <w:r w:rsidRPr="00331188">
        <w:rPr>
          <w:rFonts w:ascii="Arial" w:hAnsi="Arial" w:cs="Arial"/>
        </w:rPr>
        <w:tab/>
        <w:t>“The Act” means the Local Government (Miscellaneous Provisions) Act 1982;</w:t>
      </w:r>
    </w:p>
    <w:p w14:paraId="0D393430" w14:textId="77777777" w:rsidR="00997AD4" w:rsidRPr="00331188" w:rsidRDefault="00997AD4">
      <w:pPr>
        <w:pStyle w:val="indent2"/>
        <w:rPr>
          <w:rFonts w:ascii="Arial" w:hAnsi="Arial" w:cs="Arial"/>
        </w:rPr>
      </w:pPr>
    </w:p>
    <w:p w14:paraId="6693C8E9" w14:textId="77777777" w:rsidR="00997AD4" w:rsidRPr="00331188" w:rsidRDefault="00997AD4">
      <w:pPr>
        <w:pStyle w:val="indent2"/>
        <w:rPr>
          <w:rFonts w:ascii="Arial" w:hAnsi="Arial" w:cs="Arial"/>
        </w:rPr>
      </w:pPr>
      <w:r w:rsidRPr="00331188">
        <w:rPr>
          <w:rFonts w:ascii="Arial" w:hAnsi="Arial" w:cs="Arial"/>
        </w:rPr>
        <w:tab/>
      </w:r>
      <w:r w:rsidRPr="00331188">
        <w:rPr>
          <w:rFonts w:ascii="Arial" w:hAnsi="Arial" w:cs="Arial"/>
        </w:rPr>
        <w:tab/>
        <w:t>“client” means any person undergoing treatment;</w:t>
      </w:r>
    </w:p>
    <w:p w14:paraId="4E8F8AAE" w14:textId="77777777" w:rsidR="00997AD4" w:rsidRPr="00331188" w:rsidRDefault="00997AD4">
      <w:pPr>
        <w:pStyle w:val="indent2"/>
        <w:rPr>
          <w:rFonts w:ascii="Arial" w:hAnsi="Arial" w:cs="Arial"/>
        </w:rPr>
      </w:pPr>
    </w:p>
    <w:p w14:paraId="73C80E99" w14:textId="77777777" w:rsidR="00997AD4" w:rsidRPr="00331188" w:rsidRDefault="00997AD4">
      <w:pPr>
        <w:pStyle w:val="indent2"/>
        <w:rPr>
          <w:rFonts w:ascii="Arial" w:hAnsi="Arial" w:cs="Arial"/>
        </w:rPr>
      </w:pPr>
      <w:r w:rsidRPr="00331188">
        <w:rPr>
          <w:rFonts w:ascii="Arial" w:hAnsi="Arial" w:cs="Arial"/>
        </w:rPr>
        <w:tab/>
      </w:r>
      <w:r w:rsidRPr="00331188">
        <w:rPr>
          <w:rFonts w:ascii="Arial" w:hAnsi="Arial" w:cs="Arial"/>
        </w:rPr>
        <w:tab/>
        <w:t>“hygienic piercing instrument” means an instrument such that any part of the instrument that touches a client is made for use in respect of a single client, is sterile, disposable and is fitted with piercing jewellery supplied in packaging that indicates the part of the body for which it is intended, and that is designed to pierce either─</w:t>
      </w:r>
    </w:p>
    <w:p w14:paraId="5CE4F82B" w14:textId="77777777" w:rsidR="00997AD4" w:rsidRPr="00331188" w:rsidRDefault="00997AD4">
      <w:pPr>
        <w:pStyle w:val="indent2"/>
        <w:rPr>
          <w:rFonts w:ascii="Arial" w:hAnsi="Arial" w:cs="Arial"/>
        </w:rPr>
      </w:pPr>
    </w:p>
    <w:p w14:paraId="57117BBC"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(a)</w:t>
      </w:r>
      <w:r w:rsidRPr="00331188">
        <w:rPr>
          <w:rFonts w:ascii="Arial" w:hAnsi="Arial" w:cs="Arial"/>
        </w:rPr>
        <w:tab/>
        <w:t>the lobe or upper flat cartilage of the ear, or</w:t>
      </w:r>
    </w:p>
    <w:p w14:paraId="54C4CDA3"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(b)</w:t>
      </w:r>
      <w:r w:rsidRPr="00331188">
        <w:rPr>
          <w:rFonts w:ascii="Arial" w:hAnsi="Arial" w:cs="Arial"/>
        </w:rPr>
        <w:tab/>
        <w:t>either side of the nose in the mid-crease area above the nostril;</w:t>
      </w:r>
    </w:p>
    <w:p w14:paraId="1D11C719" w14:textId="77777777" w:rsidR="00997AD4" w:rsidRPr="00331188" w:rsidRDefault="00997AD4">
      <w:pPr>
        <w:pStyle w:val="indent3"/>
        <w:rPr>
          <w:rFonts w:ascii="Arial" w:hAnsi="Arial" w:cs="Arial"/>
        </w:rPr>
      </w:pPr>
    </w:p>
    <w:p w14:paraId="4E0FDE9A" w14:textId="77777777" w:rsidR="00997AD4" w:rsidRPr="00331188" w:rsidRDefault="00997AD4">
      <w:pPr>
        <w:pStyle w:val="indent2"/>
        <w:rPr>
          <w:rFonts w:ascii="Arial" w:hAnsi="Arial" w:cs="Arial"/>
        </w:rPr>
      </w:pPr>
      <w:r w:rsidRPr="00331188">
        <w:rPr>
          <w:rFonts w:ascii="Arial" w:hAnsi="Arial" w:cs="Arial"/>
        </w:rPr>
        <w:tab/>
      </w:r>
      <w:r w:rsidRPr="00331188">
        <w:rPr>
          <w:rFonts w:ascii="Arial" w:hAnsi="Arial" w:cs="Arial"/>
        </w:rPr>
        <w:tab/>
        <w:t>“operator” means any person giving treatment, including a proprietor;</w:t>
      </w:r>
    </w:p>
    <w:p w14:paraId="51DB8F96" w14:textId="77777777" w:rsidR="00997AD4" w:rsidRPr="00331188" w:rsidRDefault="00997AD4">
      <w:pPr>
        <w:pStyle w:val="indent2"/>
        <w:rPr>
          <w:rFonts w:ascii="Arial" w:hAnsi="Arial" w:cs="Arial"/>
        </w:rPr>
      </w:pPr>
    </w:p>
    <w:p w14:paraId="6F205EEE" w14:textId="77777777" w:rsidR="00997AD4" w:rsidRPr="00331188" w:rsidRDefault="00997AD4">
      <w:pPr>
        <w:pStyle w:val="indent2"/>
        <w:rPr>
          <w:rFonts w:ascii="Arial" w:hAnsi="Arial" w:cs="Arial"/>
        </w:rPr>
      </w:pPr>
      <w:r w:rsidRPr="00331188">
        <w:rPr>
          <w:rFonts w:ascii="Arial" w:hAnsi="Arial" w:cs="Arial"/>
        </w:rPr>
        <w:tab/>
      </w:r>
      <w:r w:rsidRPr="00331188">
        <w:rPr>
          <w:rFonts w:ascii="Arial" w:hAnsi="Arial" w:cs="Arial"/>
        </w:rPr>
        <w:tab/>
        <w:t>“premises” means any premises registered under sections 14(2) or 15(2) of the Act;</w:t>
      </w:r>
    </w:p>
    <w:p w14:paraId="47E6D0D0" w14:textId="77777777" w:rsidR="00997AD4" w:rsidRPr="00331188" w:rsidRDefault="00997AD4">
      <w:pPr>
        <w:pStyle w:val="indent2"/>
        <w:rPr>
          <w:rFonts w:ascii="Arial" w:hAnsi="Arial" w:cs="Arial"/>
        </w:rPr>
      </w:pPr>
    </w:p>
    <w:p w14:paraId="7CE59B3E" w14:textId="77777777" w:rsidR="00997AD4" w:rsidRPr="00331188" w:rsidRDefault="00997AD4">
      <w:pPr>
        <w:pStyle w:val="indent2"/>
        <w:rPr>
          <w:rFonts w:ascii="Arial" w:hAnsi="Arial" w:cs="Arial"/>
        </w:rPr>
      </w:pPr>
      <w:r w:rsidRPr="00331188">
        <w:rPr>
          <w:rFonts w:ascii="Arial" w:hAnsi="Arial" w:cs="Arial"/>
        </w:rPr>
        <w:tab/>
      </w:r>
      <w:r w:rsidRPr="00331188">
        <w:rPr>
          <w:rFonts w:ascii="Arial" w:hAnsi="Arial" w:cs="Arial"/>
        </w:rPr>
        <w:tab/>
        <w:t>“proprietor” means any person registered under sections 14(1) or 15(1) of the Act;</w:t>
      </w:r>
    </w:p>
    <w:p w14:paraId="0F819801" w14:textId="77777777" w:rsidR="00997AD4" w:rsidRPr="00331188" w:rsidRDefault="00997AD4">
      <w:pPr>
        <w:pStyle w:val="indent2"/>
        <w:rPr>
          <w:rFonts w:ascii="Arial" w:hAnsi="Arial" w:cs="Arial"/>
        </w:rPr>
      </w:pPr>
    </w:p>
    <w:p w14:paraId="79B12937" w14:textId="77777777" w:rsidR="00997AD4" w:rsidRPr="00331188" w:rsidRDefault="00997AD4">
      <w:pPr>
        <w:pStyle w:val="indent2"/>
        <w:rPr>
          <w:rFonts w:ascii="Arial" w:hAnsi="Arial" w:cs="Arial"/>
        </w:rPr>
      </w:pPr>
      <w:r w:rsidRPr="00331188">
        <w:rPr>
          <w:rFonts w:ascii="Arial" w:hAnsi="Arial" w:cs="Arial"/>
        </w:rPr>
        <w:tab/>
      </w:r>
      <w:r w:rsidRPr="00331188">
        <w:rPr>
          <w:rFonts w:ascii="Arial" w:hAnsi="Arial" w:cs="Arial"/>
        </w:rPr>
        <w:tab/>
        <w:t>“treatment” means any operation in effecting acupuncture, tattooing, semi-permanent skin-colouring, cosmetic piercing or electrolysis;</w:t>
      </w:r>
    </w:p>
    <w:p w14:paraId="1C870E6E" w14:textId="77777777" w:rsidR="00997AD4" w:rsidRPr="00331188" w:rsidRDefault="00997AD4">
      <w:pPr>
        <w:pStyle w:val="indent2"/>
        <w:rPr>
          <w:rFonts w:ascii="Arial" w:hAnsi="Arial" w:cs="Arial"/>
        </w:rPr>
      </w:pPr>
    </w:p>
    <w:p w14:paraId="044157B9" w14:textId="77777777" w:rsidR="00997AD4" w:rsidRPr="00331188" w:rsidRDefault="00997AD4">
      <w:pPr>
        <w:pStyle w:val="indent2"/>
        <w:rPr>
          <w:rFonts w:ascii="Arial" w:hAnsi="Arial" w:cs="Arial"/>
        </w:rPr>
      </w:pPr>
      <w:r w:rsidRPr="00331188">
        <w:rPr>
          <w:rFonts w:ascii="Arial" w:hAnsi="Arial" w:cs="Arial"/>
        </w:rPr>
        <w:tab/>
      </w:r>
      <w:r w:rsidRPr="00331188">
        <w:rPr>
          <w:rFonts w:ascii="Arial" w:hAnsi="Arial" w:cs="Arial"/>
        </w:rPr>
        <w:tab/>
        <w:t>“the treatment area” means any part of premises where treatment is given to clients.</w:t>
      </w:r>
    </w:p>
    <w:p w14:paraId="59CF0BCD" w14:textId="77777777" w:rsidR="00997AD4" w:rsidRPr="00331188" w:rsidRDefault="00997AD4">
      <w:pPr>
        <w:pStyle w:val="indent2"/>
        <w:rPr>
          <w:rFonts w:ascii="Arial" w:hAnsi="Arial" w:cs="Arial"/>
        </w:rPr>
      </w:pPr>
    </w:p>
    <w:p w14:paraId="7704AF21" w14:textId="77777777" w:rsidR="00997AD4" w:rsidRPr="00331188" w:rsidRDefault="00997AD4">
      <w:pPr>
        <w:pStyle w:val="indent2"/>
        <w:rPr>
          <w:rFonts w:ascii="Arial" w:hAnsi="Arial" w:cs="Arial"/>
        </w:rPr>
      </w:pPr>
      <w:r w:rsidRPr="00331188">
        <w:rPr>
          <w:rFonts w:ascii="Arial" w:hAnsi="Arial" w:cs="Arial"/>
        </w:rPr>
        <w:tab/>
        <w:t>(2)</w:t>
      </w:r>
      <w:r w:rsidRPr="00331188">
        <w:rPr>
          <w:rFonts w:ascii="Arial" w:hAnsi="Arial" w:cs="Arial"/>
        </w:rPr>
        <w:tab/>
        <w:t>The Interpretation Act 1978 shall apply for the interpretation of these byelaws as it applies for the interpretation of an Act of Parliament.</w:t>
      </w:r>
    </w:p>
    <w:p w14:paraId="09BF8844" w14:textId="77777777" w:rsidR="00997AD4" w:rsidRPr="00331188" w:rsidRDefault="00997AD4">
      <w:pPr>
        <w:pStyle w:val="indent2"/>
        <w:rPr>
          <w:rFonts w:ascii="Arial" w:hAnsi="Arial" w:cs="Arial"/>
        </w:rPr>
      </w:pPr>
    </w:p>
    <w:p w14:paraId="13DB552C" w14:textId="77777777" w:rsidR="00997AD4" w:rsidRPr="00331188" w:rsidRDefault="00997AD4">
      <w:pPr>
        <w:pStyle w:val="indent2"/>
        <w:rPr>
          <w:rFonts w:ascii="Arial" w:hAnsi="Arial" w:cs="Arial"/>
        </w:rPr>
      </w:pPr>
      <w:r w:rsidRPr="00331188">
        <w:rPr>
          <w:rFonts w:ascii="Arial" w:hAnsi="Arial" w:cs="Arial"/>
        </w:rPr>
        <w:t>2.</w:t>
      </w:r>
      <w:r w:rsidRPr="00331188">
        <w:rPr>
          <w:rFonts w:ascii="Arial" w:hAnsi="Arial" w:cs="Arial"/>
        </w:rPr>
        <w:tab/>
        <w:t>(1)</w:t>
      </w:r>
      <w:r w:rsidRPr="00331188">
        <w:rPr>
          <w:rFonts w:ascii="Arial" w:hAnsi="Arial" w:cs="Arial"/>
        </w:rPr>
        <w:tab/>
        <w:t>For the purpose of securing the cleanliness of premises and fittings in such premises a proprietor shall ensure that—</w:t>
      </w:r>
    </w:p>
    <w:p w14:paraId="605F42DD" w14:textId="77777777" w:rsidR="00997AD4" w:rsidRPr="00331188" w:rsidRDefault="00997AD4">
      <w:pPr>
        <w:pStyle w:val="indent2"/>
        <w:rPr>
          <w:rFonts w:ascii="Arial" w:hAnsi="Arial" w:cs="Arial"/>
        </w:rPr>
      </w:pPr>
    </w:p>
    <w:p w14:paraId="4194F5DF"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(a)</w:t>
      </w:r>
      <w:r w:rsidRPr="00331188">
        <w:rPr>
          <w:rFonts w:ascii="Arial" w:hAnsi="Arial" w:cs="Arial"/>
        </w:rPr>
        <w:tab/>
        <w:t xml:space="preserve">any internal wall, door, window, partition, floor, floor </w:t>
      </w:r>
      <w:proofErr w:type="gramStart"/>
      <w:r w:rsidRPr="00331188">
        <w:rPr>
          <w:rFonts w:ascii="Arial" w:hAnsi="Arial" w:cs="Arial"/>
        </w:rPr>
        <w:t>covering</w:t>
      </w:r>
      <w:proofErr w:type="gramEnd"/>
      <w:r w:rsidRPr="00331188">
        <w:rPr>
          <w:rFonts w:ascii="Arial" w:hAnsi="Arial" w:cs="Arial"/>
        </w:rPr>
        <w:t xml:space="preserve"> or ceiling is kept clean and in such good repair as to enable it to be cleaned effectively;</w:t>
      </w:r>
    </w:p>
    <w:p w14:paraId="0AA940D6" w14:textId="77777777" w:rsidR="00997AD4" w:rsidRPr="00331188" w:rsidRDefault="00997AD4">
      <w:pPr>
        <w:pStyle w:val="indent3"/>
        <w:rPr>
          <w:rFonts w:ascii="Arial" w:hAnsi="Arial" w:cs="Arial"/>
        </w:rPr>
      </w:pPr>
    </w:p>
    <w:p w14:paraId="1A28F689"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(b)</w:t>
      </w:r>
      <w:r w:rsidRPr="00331188">
        <w:rPr>
          <w:rFonts w:ascii="Arial" w:hAnsi="Arial" w:cs="Arial"/>
        </w:rPr>
        <w:tab/>
        <w:t>any waste material, or other litter arising from treatment is handled and disposed of in accordance with relevant legislation and guidance as advised by the local authority;</w:t>
      </w:r>
    </w:p>
    <w:p w14:paraId="3086A05D" w14:textId="77777777" w:rsidR="00997AD4" w:rsidRPr="00331188" w:rsidRDefault="00997AD4">
      <w:pPr>
        <w:pStyle w:val="indent3"/>
        <w:rPr>
          <w:rFonts w:ascii="Arial" w:hAnsi="Arial" w:cs="Arial"/>
        </w:rPr>
      </w:pPr>
    </w:p>
    <w:p w14:paraId="37C2EB46"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(c)</w:t>
      </w:r>
      <w:r w:rsidRPr="00331188">
        <w:rPr>
          <w:rFonts w:ascii="Arial" w:hAnsi="Arial" w:cs="Arial"/>
        </w:rPr>
        <w:tab/>
        <w:t>any needle used in treatment is single-use and disposable, as far as is practicable, or otherwise is sterilized for each treatment, is suitably stored after treatment and is disposed of in accordance with relevant legislation and guidance as advised by the local authority;</w:t>
      </w:r>
    </w:p>
    <w:p w14:paraId="4BC8ADF4" w14:textId="77777777" w:rsidR="00997AD4" w:rsidRPr="00331188" w:rsidRDefault="00997AD4">
      <w:pPr>
        <w:pStyle w:val="indent3"/>
        <w:rPr>
          <w:rFonts w:ascii="Arial" w:hAnsi="Arial" w:cs="Arial"/>
        </w:rPr>
      </w:pPr>
    </w:p>
    <w:p w14:paraId="6CC63517"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(d)</w:t>
      </w:r>
      <w:r w:rsidRPr="00331188">
        <w:rPr>
          <w:rFonts w:ascii="Arial" w:hAnsi="Arial" w:cs="Arial"/>
        </w:rPr>
        <w:tab/>
        <w:t>any furniture or fitting in premises is kept clean and in such good repair as to enable it to be cleaned effectively;</w:t>
      </w:r>
    </w:p>
    <w:p w14:paraId="0AEFB031" w14:textId="77777777" w:rsidR="00997AD4" w:rsidRPr="00331188" w:rsidRDefault="00997AD4">
      <w:pPr>
        <w:pStyle w:val="indent3"/>
        <w:rPr>
          <w:rFonts w:ascii="Arial" w:hAnsi="Arial" w:cs="Arial"/>
        </w:rPr>
      </w:pPr>
    </w:p>
    <w:p w14:paraId="2846EC98"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(e)</w:t>
      </w:r>
      <w:r w:rsidRPr="00331188">
        <w:rPr>
          <w:rFonts w:ascii="Arial" w:hAnsi="Arial" w:cs="Arial"/>
        </w:rPr>
        <w:tab/>
        <w:t>any table, couch or seat used by a client in the treatment area which may become contaminated with blood or other body fluids, and any surface on which a needle, instrument or equipment is placed immediately prior to treatment has a smooth impervious surface which is disinfected—</w:t>
      </w:r>
    </w:p>
    <w:p w14:paraId="43EF3DD0" w14:textId="77777777" w:rsidR="00997AD4" w:rsidRPr="00331188" w:rsidRDefault="00997AD4">
      <w:pPr>
        <w:pStyle w:val="indent3"/>
        <w:rPr>
          <w:rFonts w:ascii="Arial" w:hAnsi="Arial" w:cs="Arial"/>
        </w:rPr>
      </w:pPr>
    </w:p>
    <w:p w14:paraId="4C23300D"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w:t>
      </w:r>
      <w:r w:rsidRPr="00331188">
        <w:rPr>
          <w:rFonts w:ascii="Arial" w:hAnsi="Arial" w:cs="Arial"/>
        </w:rPr>
        <w:tab/>
        <w:t>immediately after use; and</w:t>
      </w:r>
    </w:p>
    <w:p w14:paraId="7CF7343E"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(ii)</w:t>
      </w:r>
      <w:r w:rsidRPr="00331188">
        <w:rPr>
          <w:rFonts w:ascii="Arial" w:hAnsi="Arial" w:cs="Arial"/>
        </w:rPr>
        <w:tab/>
        <w:t>at the end of each working day.</w:t>
      </w:r>
    </w:p>
    <w:p w14:paraId="329C2057" w14:textId="77777777" w:rsidR="00997AD4" w:rsidRPr="00331188" w:rsidRDefault="00997AD4">
      <w:pPr>
        <w:pStyle w:val="indent4"/>
        <w:rPr>
          <w:rFonts w:ascii="Arial" w:hAnsi="Arial" w:cs="Arial"/>
        </w:rPr>
      </w:pPr>
    </w:p>
    <w:p w14:paraId="2A918026"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(f)</w:t>
      </w:r>
      <w:r w:rsidRPr="00331188">
        <w:rPr>
          <w:rFonts w:ascii="Arial" w:hAnsi="Arial" w:cs="Arial"/>
        </w:rPr>
        <w:tab/>
        <w:t>any table, couch, or other item of furniture used in treatment is covered by a disposable paper sheet which is changed for each client;</w:t>
      </w:r>
    </w:p>
    <w:p w14:paraId="2AEE03C7" w14:textId="77777777" w:rsidR="00997AD4" w:rsidRPr="00331188" w:rsidRDefault="00997AD4">
      <w:pPr>
        <w:pStyle w:val="indent3"/>
        <w:rPr>
          <w:rFonts w:ascii="Arial" w:hAnsi="Arial" w:cs="Arial"/>
        </w:rPr>
      </w:pPr>
    </w:p>
    <w:p w14:paraId="0813B832"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(g)</w:t>
      </w:r>
      <w:r w:rsidRPr="00331188">
        <w:rPr>
          <w:rFonts w:ascii="Arial" w:hAnsi="Arial" w:cs="Arial"/>
        </w:rPr>
        <w:tab/>
        <w:t>no eating, drinking, or smoking is permitted in the treatment area and a notice or notices reading “No Smoking”, and “No Eating or Drinking” is prominently displayed there.</w:t>
      </w:r>
    </w:p>
    <w:p w14:paraId="778E13E7" w14:textId="77777777" w:rsidR="00997AD4" w:rsidRPr="00331188" w:rsidRDefault="00997AD4">
      <w:pPr>
        <w:pStyle w:val="indent3"/>
        <w:rPr>
          <w:rFonts w:ascii="Arial" w:hAnsi="Arial" w:cs="Arial"/>
        </w:rPr>
      </w:pPr>
    </w:p>
    <w:p w14:paraId="209E7889" w14:textId="77777777" w:rsidR="00997AD4" w:rsidRPr="00331188" w:rsidRDefault="00997AD4">
      <w:pPr>
        <w:pStyle w:val="indent3"/>
        <w:rPr>
          <w:rFonts w:ascii="Arial" w:hAnsi="Arial" w:cs="Arial"/>
        </w:rPr>
      </w:pPr>
      <w:r w:rsidRPr="00331188">
        <w:rPr>
          <w:rFonts w:ascii="Arial" w:hAnsi="Arial" w:cs="Arial"/>
        </w:rPr>
        <w:tab/>
        <w:t>(2)</w:t>
      </w:r>
      <w:r w:rsidRPr="00331188">
        <w:rPr>
          <w:rFonts w:ascii="Arial" w:hAnsi="Arial" w:cs="Arial"/>
        </w:rPr>
        <w:tab/>
        <w:t>(a)</w:t>
      </w:r>
      <w:r w:rsidRPr="00331188">
        <w:rPr>
          <w:rFonts w:ascii="Arial" w:hAnsi="Arial" w:cs="Arial"/>
        </w:rPr>
        <w:tab/>
        <w:t>Subject to sub-paragraph (b), where premises are registered under section 14(2) (acupuncture) or 15(2) (tattooing, semi-permanent skin-colouring, cosmetic piercing and electrolysis) of the 1982 Act, a proprietor shall ensure that treatment is given in a treatment area used solely for giving treatment;</w:t>
      </w:r>
    </w:p>
    <w:p w14:paraId="7A82DDBB" w14:textId="77777777" w:rsidR="00997AD4" w:rsidRPr="00331188" w:rsidRDefault="00997AD4">
      <w:pPr>
        <w:pStyle w:val="indent3"/>
        <w:rPr>
          <w:rFonts w:ascii="Arial" w:hAnsi="Arial" w:cs="Arial"/>
        </w:rPr>
      </w:pPr>
    </w:p>
    <w:p w14:paraId="09815775"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(b)</w:t>
      </w:r>
      <w:r w:rsidRPr="00331188">
        <w:rPr>
          <w:rFonts w:ascii="Arial" w:hAnsi="Arial" w:cs="Arial"/>
        </w:rPr>
        <w:tab/>
        <w:t>Sub-paragraph (a) shall not apply if the only treatment to be given in such premises is ear-piercing or nose-piercing using a hygienic piercing instrument.</w:t>
      </w:r>
    </w:p>
    <w:p w14:paraId="4204D52E" w14:textId="77777777" w:rsidR="00997AD4" w:rsidRPr="00331188" w:rsidRDefault="00997AD4">
      <w:pPr>
        <w:pStyle w:val="indent3"/>
        <w:rPr>
          <w:rFonts w:ascii="Arial" w:hAnsi="Arial" w:cs="Arial"/>
        </w:rPr>
      </w:pPr>
    </w:p>
    <w:p w14:paraId="4E732FF5" w14:textId="77777777" w:rsidR="00997AD4" w:rsidRPr="00331188" w:rsidRDefault="00997AD4">
      <w:pPr>
        <w:pStyle w:val="indent3"/>
        <w:rPr>
          <w:rFonts w:ascii="Arial" w:hAnsi="Arial" w:cs="Arial"/>
        </w:rPr>
      </w:pPr>
      <w:r w:rsidRPr="00331188">
        <w:rPr>
          <w:rFonts w:ascii="Arial" w:hAnsi="Arial" w:cs="Arial"/>
        </w:rPr>
        <w:tab/>
        <w:t>(3)</w:t>
      </w:r>
      <w:r w:rsidRPr="00331188">
        <w:rPr>
          <w:rFonts w:ascii="Arial" w:hAnsi="Arial" w:cs="Arial"/>
        </w:rPr>
        <w:tab/>
        <w:t>(a)</w:t>
      </w:r>
      <w:r w:rsidRPr="00331188">
        <w:rPr>
          <w:rFonts w:ascii="Arial" w:hAnsi="Arial" w:cs="Arial"/>
        </w:rPr>
        <w:tab/>
        <w:t>Subject to sub-paragraph (b), where premises are registered under section 15(2) (tattooing, semi-permanent skin-colouring and cosmetic piercing) of the 1982 Act, a proprietor shall ensure that the floor of the treatment area is provided with a smooth impervious surface;</w:t>
      </w:r>
    </w:p>
    <w:p w14:paraId="3403B993" w14:textId="77777777" w:rsidR="00997AD4" w:rsidRPr="00331188" w:rsidRDefault="00997AD4">
      <w:pPr>
        <w:pStyle w:val="indent3"/>
        <w:rPr>
          <w:rFonts w:ascii="Arial" w:hAnsi="Arial" w:cs="Arial"/>
        </w:rPr>
      </w:pPr>
    </w:p>
    <w:p w14:paraId="0DF301A4"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(b)</w:t>
      </w:r>
      <w:r w:rsidRPr="00331188">
        <w:rPr>
          <w:rFonts w:ascii="Arial" w:hAnsi="Arial" w:cs="Arial"/>
        </w:rPr>
        <w:tab/>
        <w:t>Sub-paragraph (a) shall not apply if the only treatment to be given in such premises is ear-piercing or nose-piercing using a hygienic piercing instrument.</w:t>
      </w:r>
    </w:p>
    <w:p w14:paraId="3E929DC3" w14:textId="77777777" w:rsidR="00997AD4" w:rsidRPr="00331188" w:rsidRDefault="00997AD4">
      <w:pPr>
        <w:pStyle w:val="indent3"/>
        <w:rPr>
          <w:rFonts w:ascii="Arial" w:hAnsi="Arial" w:cs="Arial"/>
        </w:rPr>
      </w:pPr>
    </w:p>
    <w:p w14:paraId="19BB09A0" w14:textId="77777777" w:rsidR="00997AD4" w:rsidRPr="00331188" w:rsidRDefault="00997AD4">
      <w:pPr>
        <w:pStyle w:val="indent2"/>
        <w:rPr>
          <w:rFonts w:ascii="Arial" w:hAnsi="Arial" w:cs="Arial"/>
        </w:rPr>
      </w:pPr>
      <w:r w:rsidRPr="00331188">
        <w:rPr>
          <w:rFonts w:ascii="Arial" w:hAnsi="Arial" w:cs="Arial"/>
        </w:rPr>
        <w:t>3.</w:t>
      </w:r>
      <w:r w:rsidRPr="00331188">
        <w:rPr>
          <w:rFonts w:ascii="Arial" w:hAnsi="Arial" w:cs="Arial"/>
        </w:rPr>
        <w:tab/>
        <w:t>(1)</w:t>
      </w:r>
      <w:r w:rsidRPr="00331188">
        <w:rPr>
          <w:rFonts w:ascii="Arial" w:hAnsi="Arial" w:cs="Arial"/>
        </w:rPr>
        <w:tab/>
        <w:t>For the purpose of securing the cleansing and so far as is appropriate, the sterilization of needles, instruments, jewellery, materials and equipment used in connection with treatment—</w:t>
      </w:r>
    </w:p>
    <w:p w14:paraId="376CF30D" w14:textId="77777777" w:rsidR="00997AD4" w:rsidRPr="00331188" w:rsidRDefault="00997AD4">
      <w:pPr>
        <w:pStyle w:val="indent2"/>
        <w:rPr>
          <w:rFonts w:ascii="Arial" w:hAnsi="Arial" w:cs="Arial"/>
        </w:rPr>
      </w:pPr>
    </w:p>
    <w:p w14:paraId="69B50ED7"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(a)</w:t>
      </w:r>
      <w:r w:rsidRPr="00331188">
        <w:rPr>
          <w:rFonts w:ascii="Arial" w:hAnsi="Arial" w:cs="Arial"/>
        </w:rPr>
        <w:tab/>
        <w:t>an operator shall ensure that—</w:t>
      </w:r>
    </w:p>
    <w:p w14:paraId="62073521" w14:textId="77777777" w:rsidR="00997AD4" w:rsidRPr="00331188" w:rsidRDefault="00997AD4">
      <w:pPr>
        <w:pStyle w:val="indent3"/>
        <w:rPr>
          <w:rFonts w:ascii="Arial" w:hAnsi="Arial" w:cs="Arial"/>
        </w:rPr>
      </w:pPr>
    </w:p>
    <w:p w14:paraId="498E29D3"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w:t>
      </w:r>
      <w:r w:rsidRPr="00331188">
        <w:rPr>
          <w:rFonts w:ascii="Arial" w:hAnsi="Arial" w:cs="Arial"/>
        </w:rPr>
        <w:tab/>
        <w:t>any gown, wrap or other protective clothing, paper or other covering, towel, cloth or other such article used in treatment—</w:t>
      </w:r>
    </w:p>
    <w:p w14:paraId="6DE760A3" w14:textId="77777777" w:rsidR="00997AD4" w:rsidRPr="00331188" w:rsidRDefault="00997AD4">
      <w:pPr>
        <w:pStyle w:val="indent4"/>
        <w:rPr>
          <w:rFonts w:ascii="Arial" w:hAnsi="Arial" w:cs="Arial"/>
        </w:rPr>
      </w:pPr>
    </w:p>
    <w:p w14:paraId="60733703" w14:textId="77777777" w:rsidR="00997AD4" w:rsidRPr="00331188" w:rsidRDefault="00997AD4">
      <w:pPr>
        <w:pStyle w:val="indent5"/>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r>
      <w:r w:rsidRPr="00331188">
        <w:rPr>
          <w:rFonts w:ascii="Arial" w:hAnsi="Arial" w:cs="Arial"/>
        </w:rPr>
        <w:tab/>
        <w:t>(aa)</w:t>
      </w:r>
      <w:r w:rsidRPr="00331188">
        <w:rPr>
          <w:rFonts w:ascii="Arial" w:hAnsi="Arial" w:cs="Arial"/>
        </w:rPr>
        <w:tab/>
        <w:t>is clean and in good repair and, so far as is appropriate, is sterile;</w:t>
      </w:r>
    </w:p>
    <w:p w14:paraId="3F125A36" w14:textId="77777777" w:rsidR="00997AD4" w:rsidRPr="00331188" w:rsidRDefault="00997AD4">
      <w:pPr>
        <w:pStyle w:val="indent5"/>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r>
      <w:r w:rsidRPr="00331188">
        <w:rPr>
          <w:rFonts w:ascii="Arial" w:hAnsi="Arial" w:cs="Arial"/>
        </w:rPr>
        <w:tab/>
        <w:t>(bb)</w:t>
      </w:r>
      <w:r w:rsidRPr="00331188">
        <w:rPr>
          <w:rFonts w:ascii="Arial" w:hAnsi="Arial" w:cs="Arial"/>
        </w:rPr>
        <w:tab/>
        <w:t>has not previously been used in connection with another client unless it consists of a material which can be and has been adequately cleansed and, so far as is appropriate, sterilized.</w:t>
      </w:r>
    </w:p>
    <w:p w14:paraId="3E1BA794" w14:textId="77777777" w:rsidR="00997AD4" w:rsidRPr="00331188" w:rsidRDefault="00997AD4">
      <w:pPr>
        <w:pStyle w:val="indent5"/>
        <w:rPr>
          <w:rFonts w:ascii="Arial" w:hAnsi="Arial" w:cs="Arial"/>
        </w:rPr>
      </w:pPr>
    </w:p>
    <w:p w14:paraId="45F8AA10"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(ii)</w:t>
      </w:r>
      <w:r w:rsidRPr="00331188">
        <w:rPr>
          <w:rFonts w:ascii="Arial" w:hAnsi="Arial" w:cs="Arial"/>
        </w:rPr>
        <w:tab/>
        <w:t>any needle, metal instrument, or other instrument or equipment used in treatment or for handling such needle, instrument or equipment and any part of a hygienic piercing instrument that touches a client is sterile;</w:t>
      </w:r>
    </w:p>
    <w:p w14:paraId="6FA104B9" w14:textId="77777777" w:rsidR="00997AD4" w:rsidRPr="00331188" w:rsidRDefault="00997AD4">
      <w:pPr>
        <w:pStyle w:val="indent4"/>
        <w:rPr>
          <w:rFonts w:ascii="Arial" w:hAnsi="Arial" w:cs="Arial"/>
        </w:rPr>
      </w:pPr>
    </w:p>
    <w:p w14:paraId="0F3F100A"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(iii)</w:t>
      </w:r>
      <w:r w:rsidRPr="00331188">
        <w:rPr>
          <w:rFonts w:ascii="Arial" w:hAnsi="Arial" w:cs="Arial"/>
        </w:rPr>
        <w:tab/>
        <w:t>any jewellery used for cosmetic piercing by means of a hygienic piercing instrument is sterile;</w:t>
      </w:r>
    </w:p>
    <w:p w14:paraId="01571997" w14:textId="77777777" w:rsidR="00997AD4" w:rsidRPr="00331188" w:rsidRDefault="00997AD4">
      <w:pPr>
        <w:pStyle w:val="indent4"/>
        <w:rPr>
          <w:rFonts w:ascii="Arial" w:hAnsi="Arial" w:cs="Arial"/>
        </w:rPr>
      </w:pPr>
    </w:p>
    <w:p w14:paraId="057D740D"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(iv)</w:t>
      </w:r>
      <w:r w:rsidRPr="00331188">
        <w:rPr>
          <w:rFonts w:ascii="Arial" w:hAnsi="Arial" w:cs="Arial"/>
        </w:rPr>
        <w:tab/>
        <w:t>any dye used for tattooing or semi-permanent skin-colouring is sterile and inert;</w:t>
      </w:r>
    </w:p>
    <w:p w14:paraId="38D9C10F" w14:textId="77777777" w:rsidR="00997AD4" w:rsidRPr="00331188" w:rsidRDefault="00997AD4">
      <w:pPr>
        <w:pStyle w:val="indent4"/>
        <w:rPr>
          <w:rFonts w:ascii="Arial" w:hAnsi="Arial" w:cs="Arial"/>
        </w:rPr>
      </w:pPr>
    </w:p>
    <w:p w14:paraId="14D0337A"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(v)</w:t>
      </w:r>
      <w:r w:rsidRPr="00331188">
        <w:rPr>
          <w:rFonts w:ascii="Arial" w:hAnsi="Arial" w:cs="Arial"/>
        </w:rPr>
        <w:tab/>
        <w:t>any container used to hold dye for tattooing or semi-permanent skin-colouring is either disposed of at the end of each treatment or is cleaned and sterilized before re-use.</w:t>
      </w:r>
    </w:p>
    <w:p w14:paraId="12538D70" w14:textId="77777777" w:rsidR="00997AD4" w:rsidRPr="00331188" w:rsidRDefault="00997AD4">
      <w:pPr>
        <w:pStyle w:val="indent4"/>
        <w:rPr>
          <w:rFonts w:ascii="Arial" w:hAnsi="Arial" w:cs="Arial"/>
        </w:rPr>
      </w:pPr>
    </w:p>
    <w:p w14:paraId="2A65CB6B"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(b)</w:t>
      </w:r>
      <w:r w:rsidRPr="00331188">
        <w:rPr>
          <w:rFonts w:ascii="Arial" w:hAnsi="Arial" w:cs="Arial"/>
        </w:rPr>
        <w:tab/>
        <w:t>a proprietor shall provide—</w:t>
      </w:r>
    </w:p>
    <w:p w14:paraId="1E399786" w14:textId="77777777" w:rsidR="00997AD4" w:rsidRPr="00331188" w:rsidRDefault="00997AD4">
      <w:pPr>
        <w:pStyle w:val="indent3"/>
        <w:rPr>
          <w:rFonts w:ascii="Arial" w:hAnsi="Arial" w:cs="Arial"/>
        </w:rPr>
      </w:pPr>
    </w:p>
    <w:p w14:paraId="2276A661"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w:t>
      </w:r>
      <w:r w:rsidRPr="00331188">
        <w:rPr>
          <w:rFonts w:ascii="Arial" w:hAnsi="Arial" w:cs="Arial"/>
        </w:rPr>
        <w:tab/>
        <w:t>adequate facilities and equipment for—</w:t>
      </w:r>
    </w:p>
    <w:p w14:paraId="3CD9A1A5" w14:textId="77777777" w:rsidR="00997AD4" w:rsidRPr="00331188" w:rsidRDefault="00997AD4">
      <w:pPr>
        <w:pStyle w:val="indent4"/>
        <w:rPr>
          <w:rFonts w:ascii="Arial" w:hAnsi="Arial" w:cs="Arial"/>
        </w:rPr>
      </w:pPr>
    </w:p>
    <w:p w14:paraId="041AF895" w14:textId="77777777" w:rsidR="00997AD4" w:rsidRPr="00331188" w:rsidRDefault="00997AD4">
      <w:pPr>
        <w:pStyle w:val="indent5"/>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r>
      <w:r w:rsidRPr="00331188">
        <w:rPr>
          <w:rFonts w:ascii="Arial" w:hAnsi="Arial" w:cs="Arial"/>
        </w:rPr>
        <w:tab/>
        <w:t>(aa)</w:t>
      </w:r>
      <w:r w:rsidRPr="00331188">
        <w:rPr>
          <w:rFonts w:ascii="Arial" w:hAnsi="Arial" w:cs="Arial"/>
        </w:rPr>
        <w:tab/>
        <w:t>cleansing; and</w:t>
      </w:r>
    </w:p>
    <w:p w14:paraId="19BF241A" w14:textId="77777777" w:rsidR="00997AD4" w:rsidRPr="00331188" w:rsidRDefault="00997AD4">
      <w:pPr>
        <w:pStyle w:val="indent5"/>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r>
      <w:r w:rsidRPr="00331188">
        <w:rPr>
          <w:rFonts w:ascii="Arial" w:hAnsi="Arial" w:cs="Arial"/>
        </w:rPr>
        <w:tab/>
        <w:t>(bb)</w:t>
      </w:r>
      <w:r w:rsidRPr="00331188">
        <w:rPr>
          <w:rFonts w:ascii="Arial" w:hAnsi="Arial" w:cs="Arial"/>
        </w:rPr>
        <w:tab/>
        <w:t>sterilization, unless only pre-sterilized items are used.</w:t>
      </w:r>
    </w:p>
    <w:p w14:paraId="54D8C738" w14:textId="77777777" w:rsidR="00997AD4" w:rsidRPr="00331188" w:rsidRDefault="00997AD4">
      <w:pPr>
        <w:pStyle w:val="indent5"/>
        <w:rPr>
          <w:rFonts w:ascii="Arial" w:hAnsi="Arial" w:cs="Arial"/>
        </w:rPr>
      </w:pPr>
    </w:p>
    <w:p w14:paraId="1B5F9E04"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(ii)</w:t>
      </w:r>
      <w:r w:rsidRPr="00331188">
        <w:rPr>
          <w:rFonts w:ascii="Arial" w:hAnsi="Arial" w:cs="Arial"/>
        </w:rPr>
        <w:tab/>
        <w:t>sufficient and safe gas points and electrical socket outlets;</w:t>
      </w:r>
    </w:p>
    <w:p w14:paraId="3E3DBDCB" w14:textId="77777777" w:rsidR="00997AD4" w:rsidRPr="00331188" w:rsidRDefault="00997AD4">
      <w:pPr>
        <w:pStyle w:val="indent4"/>
        <w:rPr>
          <w:rFonts w:ascii="Arial" w:hAnsi="Arial" w:cs="Arial"/>
        </w:rPr>
      </w:pPr>
    </w:p>
    <w:p w14:paraId="61A6F361"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(iii)</w:t>
      </w:r>
      <w:r w:rsidRPr="00331188">
        <w:rPr>
          <w:rFonts w:ascii="Arial" w:hAnsi="Arial" w:cs="Arial"/>
        </w:rPr>
        <w:tab/>
        <w:t>an adequate and constant supply of clean hot and cold water on the premises;</w:t>
      </w:r>
    </w:p>
    <w:p w14:paraId="5CD3B9E3" w14:textId="77777777" w:rsidR="00997AD4" w:rsidRPr="00331188" w:rsidRDefault="00997AD4">
      <w:pPr>
        <w:pStyle w:val="indent4"/>
        <w:rPr>
          <w:rFonts w:ascii="Arial" w:hAnsi="Arial" w:cs="Arial"/>
        </w:rPr>
      </w:pPr>
    </w:p>
    <w:p w14:paraId="418F17A6"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(iv)</w:t>
      </w:r>
      <w:r w:rsidRPr="00331188">
        <w:rPr>
          <w:rFonts w:ascii="Arial" w:hAnsi="Arial" w:cs="Arial"/>
        </w:rPr>
        <w:tab/>
        <w:t>clean and suitable storage which enables contamination of the articles, needles, instruments and equipment mentioned in paragraphs 3(1)(a)(i), (ii), (iii), (iv) and (v) to be avoided as far as possible.</w:t>
      </w:r>
    </w:p>
    <w:p w14:paraId="298B2182" w14:textId="77777777" w:rsidR="00997AD4" w:rsidRPr="00331188" w:rsidRDefault="00997AD4">
      <w:pPr>
        <w:pStyle w:val="indent4"/>
        <w:rPr>
          <w:rFonts w:ascii="Arial" w:hAnsi="Arial" w:cs="Arial"/>
        </w:rPr>
      </w:pPr>
    </w:p>
    <w:p w14:paraId="599148C6" w14:textId="77777777" w:rsidR="00997AD4" w:rsidRPr="00331188" w:rsidRDefault="00997AD4">
      <w:pPr>
        <w:pStyle w:val="indent2"/>
        <w:rPr>
          <w:rFonts w:ascii="Arial" w:hAnsi="Arial" w:cs="Arial"/>
        </w:rPr>
      </w:pPr>
      <w:r w:rsidRPr="00331188">
        <w:rPr>
          <w:rFonts w:ascii="Arial" w:hAnsi="Arial" w:cs="Arial"/>
        </w:rPr>
        <w:lastRenderedPageBreak/>
        <w:t>4.</w:t>
      </w:r>
      <w:r w:rsidRPr="00331188">
        <w:rPr>
          <w:rFonts w:ascii="Arial" w:hAnsi="Arial" w:cs="Arial"/>
        </w:rPr>
        <w:tab/>
        <w:t>(1)</w:t>
      </w:r>
      <w:r w:rsidRPr="00331188">
        <w:rPr>
          <w:rFonts w:ascii="Arial" w:hAnsi="Arial" w:cs="Arial"/>
        </w:rPr>
        <w:tab/>
        <w:t>For the purpose of securing the cleanliness of operators, a proprietor—</w:t>
      </w:r>
    </w:p>
    <w:p w14:paraId="35A1B7E3" w14:textId="77777777" w:rsidR="00997AD4" w:rsidRPr="00331188" w:rsidRDefault="00997AD4">
      <w:pPr>
        <w:pStyle w:val="indent2"/>
        <w:rPr>
          <w:rFonts w:ascii="Arial" w:hAnsi="Arial" w:cs="Arial"/>
        </w:rPr>
      </w:pPr>
    </w:p>
    <w:p w14:paraId="18183EC8"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(a)</w:t>
      </w:r>
      <w:r w:rsidRPr="00331188">
        <w:rPr>
          <w:rFonts w:ascii="Arial" w:hAnsi="Arial" w:cs="Arial"/>
        </w:rPr>
        <w:tab/>
        <w:t>shall ensure that an operator—</w:t>
      </w:r>
    </w:p>
    <w:p w14:paraId="752D44C9" w14:textId="77777777" w:rsidR="00997AD4" w:rsidRPr="00331188" w:rsidRDefault="00997AD4">
      <w:pPr>
        <w:pStyle w:val="indent3"/>
        <w:rPr>
          <w:rFonts w:ascii="Arial" w:hAnsi="Arial" w:cs="Arial"/>
        </w:rPr>
      </w:pPr>
    </w:p>
    <w:p w14:paraId="64B4D3D2"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w:t>
      </w:r>
      <w:r w:rsidRPr="00331188">
        <w:rPr>
          <w:rFonts w:ascii="Arial" w:hAnsi="Arial" w:cs="Arial"/>
        </w:rPr>
        <w:tab/>
        <w:t>keeps his hands and nails clean and his nails short;</w:t>
      </w:r>
    </w:p>
    <w:p w14:paraId="082F026C" w14:textId="77777777" w:rsidR="00997AD4" w:rsidRPr="00331188" w:rsidRDefault="00997AD4">
      <w:pPr>
        <w:pStyle w:val="indent4"/>
        <w:rPr>
          <w:rFonts w:ascii="Arial" w:hAnsi="Arial" w:cs="Arial"/>
        </w:rPr>
      </w:pPr>
    </w:p>
    <w:p w14:paraId="0E7CA8A1"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(ii)</w:t>
      </w:r>
      <w:r w:rsidRPr="00331188">
        <w:rPr>
          <w:rFonts w:ascii="Arial" w:hAnsi="Arial" w:cs="Arial"/>
        </w:rPr>
        <w:tab/>
        <w:t>keeps any open lesion on an exposed part of the body effectively covered by an impermeable dressing;</w:t>
      </w:r>
    </w:p>
    <w:p w14:paraId="5F5DCF3A" w14:textId="77777777" w:rsidR="00997AD4" w:rsidRPr="00331188" w:rsidRDefault="00997AD4">
      <w:pPr>
        <w:pStyle w:val="indent4"/>
        <w:rPr>
          <w:rFonts w:ascii="Arial" w:hAnsi="Arial" w:cs="Arial"/>
        </w:rPr>
      </w:pPr>
    </w:p>
    <w:p w14:paraId="2CE3BA64"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(iii)</w:t>
      </w:r>
      <w:r w:rsidRPr="00331188">
        <w:rPr>
          <w:rFonts w:ascii="Arial" w:hAnsi="Arial" w:cs="Arial"/>
        </w:rPr>
        <w:tab/>
        <w:t>wears disposable examination gloves that have not previously been used with another client, unless giving acupuncture otherwise than in the circumstances described in paragraph 4(3);</w:t>
      </w:r>
    </w:p>
    <w:p w14:paraId="37724B65" w14:textId="77777777" w:rsidR="00997AD4" w:rsidRPr="00331188" w:rsidRDefault="00997AD4">
      <w:pPr>
        <w:pStyle w:val="indent4"/>
        <w:rPr>
          <w:rFonts w:ascii="Arial" w:hAnsi="Arial" w:cs="Arial"/>
        </w:rPr>
      </w:pPr>
    </w:p>
    <w:p w14:paraId="36C33CF4"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(iv)</w:t>
      </w:r>
      <w:r w:rsidRPr="00331188">
        <w:rPr>
          <w:rFonts w:ascii="Arial" w:hAnsi="Arial" w:cs="Arial"/>
        </w:rPr>
        <w:tab/>
        <w:t>wears a gown, wrap or protective clothing that is clean and washable, or alternatively a disposable covering that has not previously been used in connection with another client;</w:t>
      </w:r>
    </w:p>
    <w:p w14:paraId="7B063F9E" w14:textId="77777777" w:rsidR="00997AD4" w:rsidRPr="00331188" w:rsidRDefault="00997AD4">
      <w:pPr>
        <w:pStyle w:val="indent4"/>
        <w:rPr>
          <w:rFonts w:ascii="Arial" w:hAnsi="Arial" w:cs="Arial"/>
        </w:rPr>
      </w:pPr>
    </w:p>
    <w:p w14:paraId="39C38E94"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(v)</w:t>
      </w:r>
      <w:r w:rsidRPr="00331188">
        <w:rPr>
          <w:rFonts w:ascii="Arial" w:hAnsi="Arial" w:cs="Arial"/>
        </w:rPr>
        <w:tab/>
        <w:t>does not smoke or consume food or drink in the treatment area; and</w:t>
      </w:r>
    </w:p>
    <w:p w14:paraId="1E41991D" w14:textId="77777777" w:rsidR="00997AD4" w:rsidRPr="00331188" w:rsidRDefault="00997AD4">
      <w:pPr>
        <w:pStyle w:val="indent4"/>
        <w:rPr>
          <w:rFonts w:ascii="Arial" w:hAnsi="Arial" w:cs="Arial"/>
        </w:rPr>
      </w:pPr>
    </w:p>
    <w:p w14:paraId="559B9CBD"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(b)</w:t>
      </w:r>
      <w:r w:rsidRPr="00331188">
        <w:rPr>
          <w:rFonts w:ascii="Arial" w:hAnsi="Arial" w:cs="Arial"/>
        </w:rPr>
        <w:tab/>
        <w:t>shall provide—</w:t>
      </w:r>
    </w:p>
    <w:p w14:paraId="4DD8E922" w14:textId="77777777" w:rsidR="00997AD4" w:rsidRPr="00331188" w:rsidRDefault="00997AD4">
      <w:pPr>
        <w:pStyle w:val="indent3"/>
        <w:rPr>
          <w:rFonts w:ascii="Arial" w:hAnsi="Arial" w:cs="Arial"/>
        </w:rPr>
      </w:pPr>
    </w:p>
    <w:p w14:paraId="15749B77"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w:t>
      </w:r>
      <w:r w:rsidRPr="00331188">
        <w:rPr>
          <w:rFonts w:ascii="Arial" w:hAnsi="Arial" w:cs="Arial"/>
        </w:rPr>
        <w:tab/>
        <w:t>suitable and sufficient washing facilities appropriately located for the sole use of operators, including an adequate and constant supply of clean hot and cold water, soap or detergent; and</w:t>
      </w:r>
    </w:p>
    <w:p w14:paraId="357CDD1A" w14:textId="77777777" w:rsidR="00997AD4" w:rsidRPr="00331188" w:rsidRDefault="00997AD4">
      <w:pPr>
        <w:pStyle w:val="indent4"/>
        <w:rPr>
          <w:rFonts w:ascii="Arial" w:hAnsi="Arial" w:cs="Arial"/>
        </w:rPr>
      </w:pPr>
    </w:p>
    <w:p w14:paraId="123B031E" w14:textId="77777777" w:rsidR="00997AD4" w:rsidRPr="00331188" w:rsidRDefault="00997AD4">
      <w:pPr>
        <w:pStyle w:val="indent4"/>
        <w:rPr>
          <w:rFonts w:ascii="Arial" w:hAnsi="Arial" w:cs="Arial"/>
        </w:rPr>
      </w:pPr>
      <w:r w:rsidRPr="00331188">
        <w:rPr>
          <w:rFonts w:ascii="Arial" w:hAnsi="Arial" w:cs="Arial"/>
        </w:rPr>
        <w:tab/>
      </w:r>
      <w:r w:rsidRPr="00331188">
        <w:rPr>
          <w:rFonts w:ascii="Arial" w:hAnsi="Arial" w:cs="Arial"/>
        </w:rPr>
        <w:tab/>
      </w:r>
      <w:r w:rsidRPr="00331188">
        <w:rPr>
          <w:rFonts w:ascii="Arial" w:hAnsi="Arial" w:cs="Arial"/>
        </w:rPr>
        <w:tab/>
        <w:t>(ii)</w:t>
      </w:r>
      <w:r w:rsidRPr="00331188">
        <w:rPr>
          <w:rFonts w:ascii="Arial" w:hAnsi="Arial" w:cs="Arial"/>
        </w:rPr>
        <w:tab/>
        <w:t>suitable and sufficient sanitary accommodation for operators.</w:t>
      </w:r>
    </w:p>
    <w:p w14:paraId="7CF3531D" w14:textId="77777777" w:rsidR="00997AD4" w:rsidRPr="00331188" w:rsidRDefault="00997AD4">
      <w:pPr>
        <w:pStyle w:val="indent4"/>
        <w:rPr>
          <w:rFonts w:ascii="Arial" w:hAnsi="Arial" w:cs="Arial"/>
        </w:rPr>
      </w:pPr>
    </w:p>
    <w:p w14:paraId="1DC868BD" w14:textId="77777777" w:rsidR="00997AD4" w:rsidRPr="00331188" w:rsidRDefault="00997AD4">
      <w:pPr>
        <w:pStyle w:val="indent2"/>
        <w:rPr>
          <w:rFonts w:ascii="Arial" w:hAnsi="Arial" w:cs="Arial"/>
        </w:rPr>
      </w:pPr>
      <w:r w:rsidRPr="00331188">
        <w:rPr>
          <w:rFonts w:ascii="Arial" w:hAnsi="Arial" w:cs="Arial"/>
        </w:rPr>
        <w:tab/>
        <w:t>(2)</w:t>
      </w:r>
      <w:r w:rsidRPr="00331188">
        <w:rPr>
          <w:rFonts w:ascii="Arial" w:hAnsi="Arial" w:cs="Arial"/>
        </w:rPr>
        <w:tab/>
        <w:t>Where an operator carries out treatment using only a hygienic piercing instrument and a proprietor provides either a hand hygienic gel or liquid cleaner, the washing facilities that the proprietor provides need not be for the sole use of the operator.</w:t>
      </w:r>
    </w:p>
    <w:p w14:paraId="2C66CF09" w14:textId="77777777" w:rsidR="00997AD4" w:rsidRPr="00331188" w:rsidRDefault="00997AD4">
      <w:pPr>
        <w:pStyle w:val="indent2"/>
        <w:rPr>
          <w:rFonts w:ascii="Arial" w:hAnsi="Arial" w:cs="Arial"/>
        </w:rPr>
      </w:pPr>
    </w:p>
    <w:p w14:paraId="7F2164D5" w14:textId="77777777" w:rsidR="00997AD4" w:rsidRPr="00331188" w:rsidRDefault="00997AD4">
      <w:pPr>
        <w:pStyle w:val="indent2"/>
        <w:rPr>
          <w:rFonts w:ascii="Arial" w:hAnsi="Arial" w:cs="Arial"/>
        </w:rPr>
      </w:pPr>
      <w:r w:rsidRPr="00331188">
        <w:rPr>
          <w:rFonts w:ascii="Arial" w:hAnsi="Arial" w:cs="Arial"/>
        </w:rPr>
        <w:tab/>
        <w:t>(3)</w:t>
      </w:r>
      <w:r w:rsidRPr="00331188">
        <w:rPr>
          <w:rFonts w:ascii="Arial" w:hAnsi="Arial" w:cs="Arial"/>
        </w:rPr>
        <w:tab/>
        <w:t>Where an operator gives acupuncture a proprietor shall ensure that the operator wears disposable examination gloves that have not previously been used with another client if—</w:t>
      </w:r>
    </w:p>
    <w:p w14:paraId="3F26340B" w14:textId="77777777" w:rsidR="00997AD4" w:rsidRPr="00331188" w:rsidRDefault="00997AD4">
      <w:pPr>
        <w:pStyle w:val="indent2"/>
        <w:rPr>
          <w:rFonts w:ascii="Arial" w:hAnsi="Arial" w:cs="Arial"/>
        </w:rPr>
      </w:pPr>
    </w:p>
    <w:p w14:paraId="37A75CCB"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(a)</w:t>
      </w:r>
      <w:r w:rsidRPr="00331188">
        <w:rPr>
          <w:rFonts w:ascii="Arial" w:hAnsi="Arial" w:cs="Arial"/>
        </w:rPr>
        <w:tab/>
        <w:t>the client is bleeding or has an open lesion on an exposed part of his body; or</w:t>
      </w:r>
    </w:p>
    <w:p w14:paraId="2A9FA693" w14:textId="77777777" w:rsidR="00997AD4" w:rsidRPr="00331188" w:rsidRDefault="00997AD4">
      <w:pPr>
        <w:pStyle w:val="indent3"/>
        <w:rPr>
          <w:rFonts w:ascii="Arial" w:hAnsi="Arial" w:cs="Arial"/>
        </w:rPr>
      </w:pPr>
    </w:p>
    <w:p w14:paraId="49C60C2D"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(b)</w:t>
      </w:r>
      <w:r w:rsidRPr="00331188">
        <w:rPr>
          <w:rFonts w:ascii="Arial" w:hAnsi="Arial" w:cs="Arial"/>
        </w:rPr>
        <w:tab/>
        <w:t>the client is known to be infected with a blood-borne virus; or</w:t>
      </w:r>
    </w:p>
    <w:p w14:paraId="4DCDEBB8" w14:textId="77777777" w:rsidR="00997AD4" w:rsidRPr="00331188" w:rsidRDefault="00997AD4">
      <w:pPr>
        <w:pStyle w:val="indent3"/>
        <w:rPr>
          <w:rFonts w:ascii="Arial" w:hAnsi="Arial" w:cs="Arial"/>
        </w:rPr>
      </w:pPr>
    </w:p>
    <w:p w14:paraId="6FD8D5B8"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(c)</w:t>
      </w:r>
      <w:r w:rsidRPr="00331188">
        <w:rPr>
          <w:rFonts w:ascii="Arial" w:hAnsi="Arial" w:cs="Arial"/>
        </w:rPr>
        <w:tab/>
        <w:t>the operator has an open lesion on his hand; or</w:t>
      </w:r>
    </w:p>
    <w:p w14:paraId="6C8BF8EA" w14:textId="77777777" w:rsidR="00997AD4" w:rsidRPr="00331188" w:rsidRDefault="00997AD4">
      <w:pPr>
        <w:pStyle w:val="indent3"/>
        <w:rPr>
          <w:rFonts w:ascii="Arial" w:hAnsi="Arial" w:cs="Arial"/>
        </w:rPr>
      </w:pPr>
    </w:p>
    <w:p w14:paraId="50D919A0" w14:textId="77777777" w:rsidR="00997AD4" w:rsidRPr="00331188" w:rsidRDefault="00997AD4">
      <w:pPr>
        <w:pStyle w:val="indent3"/>
        <w:rPr>
          <w:rFonts w:ascii="Arial" w:hAnsi="Arial" w:cs="Arial"/>
        </w:rPr>
      </w:pPr>
      <w:r w:rsidRPr="00331188">
        <w:rPr>
          <w:rFonts w:ascii="Arial" w:hAnsi="Arial" w:cs="Arial"/>
        </w:rPr>
        <w:tab/>
      </w:r>
      <w:r w:rsidRPr="00331188">
        <w:rPr>
          <w:rFonts w:ascii="Arial" w:hAnsi="Arial" w:cs="Arial"/>
        </w:rPr>
        <w:tab/>
        <w:t>(d)</w:t>
      </w:r>
      <w:r w:rsidRPr="00331188">
        <w:rPr>
          <w:rFonts w:ascii="Arial" w:hAnsi="Arial" w:cs="Arial"/>
        </w:rPr>
        <w:tab/>
        <w:t>the operator is handling items that may be contaminated with blood or other body fluids.</w:t>
      </w:r>
    </w:p>
    <w:p w14:paraId="33B8E944" w14:textId="77777777" w:rsidR="00997AD4" w:rsidRPr="00331188" w:rsidRDefault="00997AD4">
      <w:pPr>
        <w:pStyle w:val="indent3"/>
        <w:rPr>
          <w:rFonts w:ascii="Arial" w:hAnsi="Arial" w:cs="Arial"/>
        </w:rPr>
      </w:pPr>
    </w:p>
    <w:p w14:paraId="57D99CE2" w14:textId="77777777" w:rsidR="00997AD4" w:rsidRPr="00331188" w:rsidRDefault="00997AD4">
      <w:pPr>
        <w:pStyle w:val="indent"/>
        <w:rPr>
          <w:rFonts w:ascii="Arial" w:hAnsi="Arial" w:cs="Arial"/>
        </w:rPr>
      </w:pPr>
      <w:r w:rsidRPr="00331188">
        <w:rPr>
          <w:rFonts w:ascii="Arial" w:hAnsi="Arial" w:cs="Arial"/>
        </w:rPr>
        <w:t>5.</w:t>
      </w:r>
      <w:r w:rsidRPr="00331188">
        <w:rPr>
          <w:rFonts w:ascii="Arial" w:hAnsi="Arial" w:cs="Arial"/>
        </w:rPr>
        <w:tab/>
        <w:t>A person registered in accordance with sections 14 (acupuncture) or 15 (tattooing, semi-permanent skin-colouring, cosmetic piercing and electrolysis) of the Act who visits people at their request to give them treatment should observe the requirements relating to an operator in paragraphs 3(1)(a) and 4(1)(a).</w:t>
      </w:r>
    </w:p>
    <w:p w14:paraId="5264795F" w14:textId="77777777" w:rsidR="00997AD4" w:rsidRPr="00331188" w:rsidRDefault="00997AD4">
      <w:pPr>
        <w:pStyle w:val="indent"/>
        <w:rPr>
          <w:rFonts w:ascii="Arial" w:hAnsi="Arial" w:cs="Arial"/>
        </w:rPr>
      </w:pPr>
    </w:p>
    <w:p w14:paraId="7391013C" w14:textId="77777777" w:rsidR="00997AD4" w:rsidRPr="00331188" w:rsidRDefault="00997AD4">
      <w:pPr>
        <w:pStyle w:val="indent"/>
        <w:rPr>
          <w:rFonts w:ascii="Arial" w:hAnsi="Arial" w:cs="Arial"/>
        </w:rPr>
      </w:pPr>
      <w:r w:rsidRPr="00331188">
        <w:rPr>
          <w:rFonts w:ascii="Arial" w:hAnsi="Arial" w:cs="Arial"/>
        </w:rPr>
        <w:lastRenderedPageBreak/>
        <w:t>6.</w:t>
      </w:r>
      <w:r w:rsidRPr="00331188">
        <w:rPr>
          <w:rFonts w:ascii="Arial" w:hAnsi="Arial" w:cs="Arial"/>
        </w:rPr>
        <w:tab/>
        <w:t>The byelaws relating to acupuncture tattooing, ear piercing and electrolysis that were made by the</w:t>
      </w:r>
      <w:r w:rsidRPr="00331188">
        <w:rPr>
          <w:rFonts w:ascii="Arial" w:hAnsi="Arial" w:cs="Arial"/>
          <w:i/>
          <w:iCs/>
        </w:rPr>
        <w:t xml:space="preserve"> </w:t>
      </w:r>
      <w:r w:rsidRPr="00331188">
        <w:rPr>
          <w:rFonts w:ascii="Arial" w:hAnsi="Arial" w:cs="Arial"/>
        </w:rPr>
        <w:t>Council of the City of Gloucester on the 18th day of February 1999, were confirmed by the Secretary of State for Health on 4 May 1999 that came into operation on 4 June 1999 are revoked.</w:t>
      </w:r>
    </w:p>
    <w:p w14:paraId="1CE93ED4" w14:textId="77777777" w:rsidR="00997AD4" w:rsidRPr="00331188" w:rsidRDefault="00997AD4">
      <w:pPr>
        <w:spacing w:line="240" w:lineRule="auto"/>
        <w:rPr>
          <w:rFonts w:ascii="Arial" w:hAnsi="Arial" w:cs="Arial"/>
          <w:sz w:val="24"/>
        </w:rPr>
      </w:pPr>
    </w:p>
    <w:p w14:paraId="3B1C1160" w14:textId="77777777" w:rsidR="00997AD4" w:rsidRPr="00331188" w:rsidRDefault="00997AD4">
      <w:pPr>
        <w:spacing w:line="240" w:lineRule="auto"/>
        <w:rPr>
          <w:rFonts w:ascii="Arial" w:hAnsi="Arial" w:cs="Arial"/>
          <w:sz w:val="24"/>
        </w:rPr>
      </w:pPr>
    </w:p>
    <w:p w14:paraId="3ED358DB" w14:textId="77777777" w:rsidR="00997AD4" w:rsidRPr="00331188" w:rsidRDefault="00997AD4">
      <w:pPr>
        <w:spacing w:line="240" w:lineRule="auto"/>
        <w:rPr>
          <w:rFonts w:ascii="Arial" w:hAnsi="Arial" w:cs="Arial"/>
          <w:sz w:val="24"/>
        </w:rPr>
      </w:pPr>
    </w:p>
    <w:p w14:paraId="4D04A040" w14:textId="77777777" w:rsidR="00997AD4" w:rsidRPr="00331188" w:rsidRDefault="00997AD4">
      <w:pPr>
        <w:spacing w:line="240" w:lineRule="auto"/>
        <w:rPr>
          <w:rFonts w:ascii="Arial" w:hAnsi="Arial" w:cs="Arial"/>
          <w:sz w:val="24"/>
        </w:rPr>
      </w:pPr>
    </w:p>
    <w:p w14:paraId="45849728" w14:textId="77777777" w:rsidR="00997AD4" w:rsidRPr="00331188" w:rsidRDefault="00997AD4">
      <w:pPr>
        <w:spacing w:line="240" w:lineRule="auto"/>
        <w:rPr>
          <w:rFonts w:ascii="Arial" w:hAnsi="Arial" w:cs="Arial"/>
          <w:sz w:val="24"/>
        </w:rPr>
      </w:pPr>
    </w:p>
    <w:p w14:paraId="0AA7C68E" w14:textId="77777777" w:rsidR="00997AD4" w:rsidRPr="00331188" w:rsidRDefault="00997AD4">
      <w:pPr>
        <w:spacing w:line="240" w:lineRule="auto"/>
        <w:rPr>
          <w:rFonts w:ascii="Arial" w:hAnsi="Arial" w:cs="Arial"/>
          <w:sz w:val="24"/>
        </w:rPr>
      </w:pPr>
    </w:p>
    <w:p w14:paraId="6178F413" w14:textId="77777777" w:rsidR="00997AD4" w:rsidRPr="00331188" w:rsidRDefault="00997AD4">
      <w:pPr>
        <w:spacing w:line="240" w:lineRule="auto"/>
        <w:rPr>
          <w:rFonts w:ascii="Arial" w:hAnsi="Arial" w:cs="Arial"/>
          <w:sz w:val="24"/>
        </w:rPr>
      </w:pPr>
    </w:p>
    <w:p w14:paraId="78386978" w14:textId="77777777" w:rsidR="00997AD4" w:rsidRPr="00331188" w:rsidRDefault="00997AD4">
      <w:pPr>
        <w:spacing w:line="240" w:lineRule="auto"/>
        <w:rPr>
          <w:rFonts w:ascii="Arial" w:hAnsi="Arial" w:cs="Arial"/>
          <w:sz w:val="24"/>
        </w:rPr>
      </w:pPr>
    </w:p>
    <w:p w14:paraId="2733285E" w14:textId="77777777" w:rsidR="00997AD4" w:rsidRPr="00331188" w:rsidRDefault="00997AD4">
      <w:pPr>
        <w:tabs>
          <w:tab w:val="left" w:pos="3544"/>
        </w:tabs>
        <w:rPr>
          <w:rFonts w:ascii="Arial" w:hAnsi="Arial" w:cs="Arial"/>
          <w:sz w:val="24"/>
        </w:rPr>
      </w:pPr>
      <w:r w:rsidRPr="00331188">
        <w:rPr>
          <w:rFonts w:ascii="Arial" w:hAnsi="Arial" w:cs="Arial"/>
          <w:b/>
          <w:sz w:val="24"/>
        </w:rPr>
        <w:t>THE COMMON SEAL</w:t>
      </w:r>
      <w:r w:rsidRPr="00331188">
        <w:rPr>
          <w:rFonts w:ascii="Arial" w:hAnsi="Arial" w:cs="Arial"/>
          <w:sz w:val="24"/>
        </w:rPr>
        <w:t xml:space="preserve"> of </w:t>
      </w:r>
      <w:r w:rsidRPr="00331188">
        <w:rPr>
          <w:rFonts w:ascii="Arial" w:hAnsi="Arial" w:cs="Arial"/>
          <w:b/>
          <w:sz w:val="24"/>
        </w:rPr>
        <w:t>THE</w:t>
      </w:r>
      <w:r w:rsidRPr="00331188">
        <w:rPr>
          <w:rFonts w:ascii="Arial" w:hAnsi="Arial" w:cs="Arial"/>
          <w:sz w:val="24"/>
        </w:rPr>
        <w:tab/>
        <w:t>)</w:t>
      </w:r>
    </w:p>
    <w:p w14:paraId="70A056B7" w14:textId="77777777" w:rsidR="00997AD4" w:rsidRPr="00331188" w:rsidRDefault="00997AD4">
      <w:pPr>
        <w:tabs>
          <w:tab w:val="left" w:pos="3544"/>
        </w:tabs>
        <w:rPr>
          <w:rFonts w:ascii="Arial" w:hAnsi="Arial" w:cs="Arial"/>
          <w:sz w:val="24"/>
        </w:rPr>
      </w:pPr>
      <w:r w:rsidRPr="00331188">
        <w:rPr>
          <w:rFonts w:ascii="Arial" w:hAnsi="Arial" w:cs="Arial"/>
          <w:b/>
          <w:sz w:val="24"/>
        </w:rPr>
        <w:t>COUNCIL OF THE CITY OF</w:t>
      </w:r>
      <w:r w:rsidRPr="00331188">
        <w:rPr>
          <w:rFonts w:ascii="Arial" w:hAnsi="Arial" w:cs="Arial"/>
          <w:sz w:val="24"/>
        </w:rPr>
        <w:tab/>
        <w:t>)</w:t>
      </w:r>
    </w:p>
    <w:p w14:paraId="522BB000" w14:textId="77777777" w:rsidR="00997AD4" w:rsidRPr="00331188" w:rsidRDefault="000F7AD4">
      <w:pPr>
        <w:tabs>
          <w:tab w:val="left" w:pos="3544"/>
        </w:tabs>
        <w:rPr>
          <w:rFonts w:ascii="Arial" w:hAnsi="Arial" w:cs="Arial"/>
          <w:sz w:val="24"/>
        </w:rPr>
      </w:pPr>
      <w:r>
        <w:rPr>
          <w:rFonts w:ascii="Arial" w:hAnsi="Arial" w:cs="Arial"/>
          <w:noProof/>
          <w:sz w:val="20"/>
          <w:lang w:val="en-US"/>
        </w:rPr>
        <w:pict w14:anchorId="3E735E68">
          <v:group id="_x0000_s1026" style="position:absolute;left:0;text-align:left;margin-left:240.5pt;margin-top:12pt;width:63.6pt;height:63.6pt;z-index:1" coordorigin="5944,2646" coordsize="1272,1272">
            <v:oval id="_x0000_s1027" style="position:absolute;left:5944;top:2646;width:1272;height:1272"/>
            <v:shapetype id="_x0000_t202" coordsize="21600,21600" o:spt="202" path="m,l,21600r21600,l21600,xe">
              <v:stroke joinstyle="miter"/>
              <v:path gradientshapeok="t" o:connecttype="rect"/>
            </v:shapetype>
            <v:shape id="_x0000_s1028" type="#_x0000_t202" style="position:absolute;left:6212;top:3047;width:754;height:452" stroked="f">
              <v:textbox>
                <w:txbxContent>
                  <w:p w14:paraId="6734600E" w14:textId="77777777" w:rsidR="00997AD4" w:rsidRDefault="00997AD4">
                    <w:pPr>
                      <w:jc w:val="center"/>
                      <w:rPr>
                        <w:b/>
                        <w:bCs/>
                        <w:sz w:val="32"/>
                      </w:rPr>
                    </w:pPr>
                    <w:r>
                      <w:rPr>
                        <w:b/>
                        <w:bCs/>
                        <w:sz w:val="32"/>
                      </w:rPr>
                      <w:t>LS</w:t>
                    </w:r>
                  </w:p>
                </w:txbxContent>
              </v:textbox>
            </v:shape>
          </v:group>
        </w:pict>
      </w:r>
      <w:r w:rsidR="00997AD4" w:rsidRPr="00331188">
        <w:rPr>
          <w:rFonts w:ascii="Arial" w:hAnsi="Arial" w:cs="Arial"/>
          <w:b/>
          <w:sz w:val="24"/>
        </w:rPr>
        <w:t>GLOUCESTER</w:t>
      </w:r>
      <w:r w:rsidR="00997AD4" w:rsidRPr="00331188">
        <w:rPr>
          <w:rFonts w:ascii="Arial" w:hAnsi="Arial" w:cs="Arial"/>
          <w:sz w:val="24"/>
        </w:rPr>
        <w:t xml:space="preserve"> affixed hereto</w:t>
      </w:r>
      <w:r w:rsidR="00997AD4" w:rsidRPr="00331188">
        <w:rPr>
          <w:rFonts w:ascii="Arial" w:hAnsi="Arial" w:cs="Arial"/>
          <w:sz w:val="24"/>
        </w:rPr>
        <w:tab/>
        <w:t>)</w:t>
      </w:r>
    </w:p>
    <w:p w14:paraId="710BE436" w14:textId="77777777" w:rsidR="00997AD4" w:rsidRPr="00331188" w:rsidRDefault="00997AD4">
      <w:pPr>
        <w:tabs>
          <w:tab w:val="left" w:pos="3544"/>
        </w:tabs>
        <w:rPr>
          <w:rFonts w:ascii="Arial" w:hAnsi="Arial" w:cs="Arial"/>
          <w:sz w:val="24"/>
        </w:rPr>
      </w:pPr>
      <w:r w:rsidRPr="00331188">
        <w:rPr>
          <w:rFonts w:ascii="Arial" w:hAnsi="Arial" w:cs="Arial"/>
          <w:sz w:val="24"/>
        </w:rPr>
        <w:t>this 13th day of October 2009</w:t>
      </w:r>
      <w:r w:rsidRPr="00331188">
        <w:rPr>
          <w:rFonts w:ascii="Arial" w:hAnsi="Arial" w:cs="Arial"/>
          <w:sz w:val="24"/>
        </w:rPr>
        <w:tab/>
        <w:t>)</w:t>
      </w:r>
    </w:p>
    <w:p w14:paraId="703EE141" w14:textId="77777777" w:rsidR="00997AD4" w:rsidRPr="00331188" w:rsidRDefault="00997AD4">
      <w:pPr>
        <w:tabs>
          <w:tab w:val="left" w:pos="3544"/>
        </w:tabs>
        <w:rPr>
          <w:rFonts w:ascii="Arial" w:hAnsi="Arial" w:cs="Arial"/>
          <w:sz w:val="24"/>
        </w:rPr>
      </w:pPr>
      <w:r w:rsidRPr="00331188">
        <w:rPr>
          <w:rFonts w:ascii="Arial" w:hAnsi="Arial" w:cs="Arial"/>
          <w:sz w:val="24"/>
        </w:rPr>
        <w:t xml:space="preserve">is authenticated by the </w:t>
      </w:r>
      <w:r w:rsidRPr="00331188">
        <w:rPr>
          <w:rFonts w:ascii="Arial" w:hAnsi="Arial" w:cs="Arial"/>
          <w:sz w:val="24"/>
        </w:rPr>
        <w:tab/>
        <w:t>)</w:t>
      </w:r>
    </w:p>
    <w:p w14:paraId="37545B59" w14:textId="77777777" w:rsidR="00997AD4" w:rsidRPr="00331188" w:rsidRDefault="00997AD4">
      <w:pPr>
        <w:tabs>
          <w:tab w:val="left" w:pos="3544"/>
        </w:tabs>
        <w:rPr>
          <w:rFonts w:ascii="Arial" w:hAnsi="Arial" w:cs="Arial"/>
          <w:sz w:val="24"/>
        </w:rPr>
      </w:pPr>
      <w:r w:rsidRPr="00331188">
        <w:rPr>
          <w:rFonts w:ascii="Arial" w:hAnsi="Arial" w:cs="Arial"/>
          <w:sz w:val="24"/>
        </w:rPr>
        <w:t xml:space="preserve">undersigned a person authorised </w:t>
      </w:r>
      <w:r w:rsidRPr="00331188">
        <w:rPr>
          <w:rFonts w:ascii="Arial" w:hAnsi="Arial" w:cs="Arial"/>
          <w:sz w:val="24"/>
        </w:rPr>
        <w:tab/>
        <w:t>)</w:t>
      </w:r>
    </w:p>
    <w:p w14:paraId="3A412BFD" w14:textId="77777777" w:rsidR="00997AD4" w:rsidRPr="00331188" w:rsidRDefault="00997AD4">
      <w:pPr>
        <w:tabs>
          <w:tab w:val="left" w:pos="3544"/>
        </w:tabs>
        <w:rPr>
          <w:rFonts w:ascii="Arial" w:hAnsi="Arial" w:cs="Arial"/>
          <w:sz w:val="24"/>
        </w:rPr>
      </w:pPr>
      <w:r w:rsidRPr="00331188">
        <w:rPr>
          <w:rFonts w:ascii="Arial" w:hAnsi="Arial" w:cs="Arial"/>
          <w:sz w:val="24"/>
        </w:rPr>
        <w:t xml:space="preserve">by the said Council to act for </w:t>
      </w:r>
      <w:r w:rsidRPr="00331188">
        <w:rPr>
          <w:rFonts w:ascii="Arial" w:hAnsi="Arial" w:cs="Arial"/>
          <w:sz w:val="24"/>
        </w:rPr>
        <w:tab/>
        <w:t>)</w:t>
      </w:r>
    </w:p>
    <w:p w14:paraId="71416DC3" w14:textId="77777777" w:rsidR="00997AD4" w:rsidRPr="00331188" w:rsidRDefault="00997AD4">
      <w:pPr>
        <w:tabs>
          <w:tab w:val="left" w:pos="3544"/>
        </w:tabs>
        <w:rPr>
          <w:rFonts w:ascii="Arial" w:hAnsi="Arial" w:cs="Arial"/>
          <w:sz w:val="24"/>
        </w:rPr>
      </w:pPr>
      <w:r w:rsidRPr="00331188">
        <w:rPr>
          <w:rFonts w:ascii="Arial" w:hAnsi="Arial" w:cs="Arial"/>
          <w:sz w:val="24"/>
        </w:rPr>
        <w:t>that purpose</w:t>
      </w:r>
      <w:r w:rsidRPr="00331188">
        <w:rPr>
          <w:rFonts w:ascii="Arial" w:hAnsi="Arial" w:cs="Arial"/>
          <w:sz w:val="24"/>
        </w:rPr>
        <w:tab/>
        <w:t>)</w:t>
      </w:r>
    </w:p>
    <w:p w14:paraId="761CBE68" w14:textId="77777777" w:rsidR="00997AD4" w:rsidRPr="00331188" w:rsidRDefault="00997AD4">
      <w:pPr>
        <w:rPr>
          <w:rFonts w:ascii="Arial" w:hAnsi="Arial" w:cs="Arial"/>
          <w:sz w:val="8"/>
        </w:rPr>
      </w:pPr>
    </w:p>
    <w:p w14:paraId="47C1A3A0" w14:textId="77777777" w:rsidR="00997AD4" w:rsidRPr="00331188" w:rsidRDefault="00997AD4">
      <w:pPr>
        <w:tabs>
          <w:tab w:val="left" w:pos="4678"/>
        </w:tabs>
        <w:rPr>
          <w:rFonts w:ascii="Arial" w:hAnsi="Arial" w:cs="Arial"/>
          <w:sz w:val="24"/>
        </w:rPr>
      </w:pPr>
      <w:r w:rsidRPr="00331188">
        <w:rPr>
          <w:rFonts w:ascii="Arial" w:hAnsi="Arial" w:cs="Arial"/>
          <w:sz w:val="24"/>
        </w:rPr>
        <w:tab/>
        <w:t>Seal No. 15995</w:t>
      </w:r>
    </w:p>
    <w:p w14:paraId="6AAF171A" w14:textId="77777777" w:rsidR="00997AD4" w:rsidRPr="00331188" w:rsidRDefault="00997AD4">
      <w:pPr>
        <w:rPr>
          <w:rFonts w:ascii="Arial" w:hAnsi="Arial" w:cs="Arial"/>
          <w:sz w:val="24"/>
        </w:rPr>
      </w:pPr>
    </w:p>
    <w:p w14:paraId="5A162273" w14:textId="77777777" w:rsidR="00997AD4" w:rsidRPr="00331188" w:rsidRDefault="00997AD4">
      <w:pPr>
        <w:rPr>
          <w:rFonts w:ascii="Arial" w:hAnsi="Arial" w:cs="Arial"/>
          <w:sz w:val="24"/>
        </w:rPr>
      </w:pPr>
    </w:p>
    <w:p w14:paraId="1E348619" w14:textId="77777777" w:rsidR="00997AD4" w:rsidRPr="00331188" w:rsidRDefault="00997AD4">
      <w:pPr>
        <w:tabs>
          <w:tab w:val="left" w:pos="3544"/>
        </w:tabs>
        <w:rPr>
          <w:rFonts w:ascii="Arial" w:hAnsi="Arial" w:cs="Arial"/>
          <w:sz w:val="24"/>
        </w:rPr>
      </w:pPr>
      <w:r w:rsidRPr="00331188">
        <w:rPr>
          <w:rFonts w:ascii="Arial" w:hAnsi="Arial" w:cs="Arial"/>
          <w:sz w:val="24"/>
        </w:rPr>
        <w:tab/>
        <w:t>Head of Legal Services</w:t>
      </w:r>
    </w:p>
    <w:p w14:paraId="60092B45" w14:textId="77777777" w:rsidR="00997AD4" w:rsidRPr="00331188" w:rsidRDefault="00997AD4">
      <w:pPr>
        <w:spacing w:line="240" w:lineRule="auto"/>
        <w:rPr>
          <w:rFonts w:ascii="Arial" w:hAnsi="Arial" w:cs="Arial"/>
          <w:sz w:val="24"/>
        </w:rPr>
      </w:pPr>
    </w:p>
    <w:p w14:paraId="5ACDED20" w14:textId="77777777" w:rsidR="00997AD4" w:rsidRPr="00331188" w:rsidRDefault="00997AD4">
      <w:pPr>
        <w:spacing w:line="240" w:lineRule="auto"/>
        <w:rPr>
          <w:rFonts w:ascii="Arial" w:hAnsi="Arial" w:cs="Arial"/>
          <w:sz w:val="24"/>
        </w:rPr>
      </w:pPr>
    </w:p>
    <w:p w14:paraId="290ED685" w14:textId="77777777" w:rsidR="00997AD4" w:rsidRPr="00331188" w:rsidRDefault="00997AD4">
      <w:pPr>
        <w:spacing w:line="240" w:lineRule="auto"/>
        <w:rPr>
          <w:rFonts w:ascii="Arial" w:hAnsi="Arial" w:cs="Arial"/>
          <w:sz w:val="24"/>
        </w:rPr>
      </w:pPr>
    </w:p>
    <w:p w14:paraId="39486364" w14:textId="77777777" w:rsidR="00997AD4" w:rsidRPr="00331188" w:rsidRDefault="00997AD4">
      <w:pPr>
        <w:spacing w:line="240" w:lineRule="auto"/>
        <w:rPr>
          <w:rFonts w:ascii="Arial" w:hAnsi="Arial" w:cs="Arial"/>
          <w:sz w:val="24"/>
        </w:rPr>
      </w:pPr>
    </w:p>
    <w:p w14:paraId="2919BA36" w14:textId="77777777" w:rsidR="00997AD4" w:rsidRPr="00331188" w:rsidRDefault="00997AD4">
      <w:pPr>
        <w:spacing w:line="240" w:lineRule="auto"/>
        <w:rPr>
          <w:rFonts w:ascii="Arial" w:hAnsi="Arial" w:cs="Arial"/>
          <w:sz w:val="24"/>
        </w:rPr>
      </w:pPr>
    </w:p>
    <w:p w14:paraId="5B097D03" w14:textId="77777777" w:rsidR="00997AD4" w:rsidRPr="00331188" w:rsidRDefault="00997AD4">
      <w:pPr>
        <w:spacing w:line="240" w:lineRule="auto"/>
        <w:rPr>
          <w:rFonts w:ascii="Arial" w:hAnsi="Arial" w:cs="Arial"/>
          <w:sz w:val="24"/>
        </w:rPr>
      </w:pPr>
    </w:p>
    <w:p w14:paraId="160DBC4D" w14:textId="77777777" w:rsidR="00997AD4" w:rsidRPr="00331188" w:rsidRDefault="00997AD4">
      <w:pPr>
        <w:tabs>
          <w:tab w:val="left" w:pos="3544"/>
        </w:tabs>
        <w:spacing w:line="240" w:lineRule="auto"/>
        <w:jc w:val="left"/>
        <w:rPr>
          <w:rFonts w:ascii="Arial" w:hAnsi="Arial" w:cs="Arial"/>
          <w:sz w:val="24"/>
        </w:rPr>
      </w:pPr>
      <w:r w:rsidRPr="00331188">
        <w:rPr>
          <w:rFonts w:ascii="Arial" w:hAnsi="Arial" w:cs="Arial"/>
          <w:sz w:val="24"/>
        </w:rPr>
        <w:t>The foregoing byelaws are hereby confirmed by the Secretary of State for Health on                             14 January 2010 and shall come into operation on 1 March 2010</w:t>
      </w:r>
    </w:p>
    <w:p w14:paraId="27FD9224" w14:textId="77777777" w:rsidR="00997AD4" w:rsidRPr="00331188" w:rsidRDefault="00997AD4">
      <w:pPr>
        <w:tabs>
          <w:tab w:val="left" w:pos="3544"/>
        </w:tabs>
        <w:spacing w:line="240" w:lineRule="auto"/>
        <w:jc w:val="left"/>
        <w:rPr>
          <w:rFonts w:ascii="Arial" w:hAnsi="Arial" w:cs="Arial"/>
          <w:sz w:val="24"/>
        </w:rPr>
      </w:pPr>
      <w:r w:rsidRPr="00331188">
        <w:rPr>
          <w:rFonts w:ascii="Arial" w:hAnsi="Arial" w:cs="Arial"/>
          <w:sz w:val="24"/>
        </w:rPr>
        <w:tab/>
      </w:r>
    </w:p>
    <w:p w14:paraId="45DC4373" w14:textId="77777777" w:rsidR="00997AD4" w:rsidRPr="00331188" w:rsidRDefault="00997AD4">
      <w:pPr>
        <w:tabs>
          <w:tab w:val="left" w:pos="3544"/>
        </w:tabs>
        <w:spacing w:line="240" w:lineRule="auto"/>
        <w:jc w:val="left"/>
        <w:rPr>
          <w:rFonts w:ascii="Arial" w:hAnsi="Arial" w:cs="Arial"/>
          <w:sz w:val="24"/>
        </w:rPr>
      </w:pPr>
    </w:p>
    <w:p w14:paraId="2E145A7C" w14:textId="77777777" w:rsidR="00997AD4" w:rsidRPr="00331188" w:rsidRDefault="00997AD4">
      <w:pPr>
        <w:tabs>
          <w:tab w:val="left" w:pos="3544"/>
        </w:tabs>
        <w:spacing w:line="240" w:lineRule="auto"/>
        <w:jc w:val="left"/>
        <w:rPr>
          <w:rFonts w:ascii="Arial" w:hAnsi="Arial" w:cs="Arial"/>
          <w:sz w:val="24"/>
        </w:rPr>
      </w:pPr>
    </w:p>
    <w:p w14:paraId="5DE01A5E" w14:textId="77777777" w:rsidR="00997AD4" w:rsidRPr="00331188" w:rsidRDefault="00997AD4">
      <w:pPr>
        <w:tabs>
          <w:tab w:val="left" w:pos="3544"/>
        </w:tabs>
        <w:spacing w:line="240" w:lineRule="auto"/>
        <w:jc w:val="left"/>
        <w:rPr>
          <w:rFonts w:ascii="Arial" w:hAnsi="Arial" w:cs="Arial"/>
          <w:sz w:val="24"/>
        </w:rPr>
      </w:pPr>
    </w:p>
    <w:p w14:paraId="79606163" w14:textId="77777777" w:rsidR="00997AD4" w:rsidRPr="00331188" w:rsidRDefault="00997AD4">
      <w:pPr>
        <w:tabs>
          <w:tab w:val="left" w:pos="3544"/>
        </w:tabs>
        <w:spacing w:line="240" w:lineRule="auto"/>
        <w:jc w:val="left"/>
        <w:rPr>
          <w:rFonts w:ascii="Arial" w:hAnsi="Arial" w:cs="Arial"/>
          <w:sz w:val="24"/>
        </w:rPr>
      </w:pPr>
    </w:p>
    <w:p w14:paraId="0184F99F" w14:textId="77777777" w:rsidR="00997AD4" w:rsidRPr="00331188" w:rsidRDefault="00997AD4">
      <w:pPr>
        <w:tabs>
          <w:tab w:val="left" w:pos="3544"/>
        </w:tabs>
        <w:spacing w:line="240" w:lineRule="auto"/>
        <w:jc w:val="left"/>
        <w:rPr>
          <w:rFonts w:ascii="Arial" w:hAnsi="Arial" w:cs="Arial"/>
          <w:sz w:val="24"/>
        </w:rPr>
      </w:pPr>
    </w:p>
    <w:p w14:paraId="6568F68A" w14:textId="77777777" w:rsidR="00997AD4" w:rsidRPr="00331188" w:rsidRDefault="00997AD4">
      <w:pPr>
        <w:tabs>
          <w:tab w:val="left" w:pos="3544"/>
        </w:tabs>
        <w:spacing w:line="240" w:lineRule="auto"/>
        <w:jc w:val="left"/>
        <w:rPr>
          <w:rFonts w:ascii="Arial" w:hAnsi="Arial" w:cs="Arial"/>
          <w:b/>
          <w:bCs/>
          <w:sz w:val="24"/>
        </w:rPr>
      </w:pPr>
      <w:r w:rsidRPr="00331188">
        <w:rPr>
          <w:rFonts w:ascii="Arial" w:hAnsi="Arial" w:cs="Arial"/>
          <w:b/>
          <w:bCs/>
          <w:sz w:val="24"/>
        </w:rPr>
        <w:t>Member of the Senior Civil Service</w:t>
      </w:r>
    </w:p>
    <w:p w14:paraId="06C70BAA" w14:textId="77777777" w:rsidR="00997AD4" w:rsidRPr="00331188" w:rsidRDefault="00997AD4">
      <w:pPr>
        <w:tabs>
          <w:tab w:val="left" w:pos="3544"/>
        </w:tabs>
        <w:spacing w:line="240" w:lineRule="auto"/>
        <w:jc w:val="left"/>
        <w:rPr>
          <w:rFonts w:ascii="Arial" w:hAnsi="Arial" w:cs="Arial"/>
          <w:b/>
          <w:bCs/>
          <w:sz w:val="24"/>
        </w:rPr>
      </w:pPr>
      <w:r w:rsidRPr="00331188">
        <w:rPr>
          <w:rFonts w:ascii="Arial" w:hAnsi="Arial" w:cs="Arial"/>
          <w:b/>
          <w:bCs/>
          <w:sz w:val="24"/>
        </w:rPr>
        <w:t>Department of Health</w:t>
      </w:r>
    </w:p>
    <w:p w14:paraId="1D173D8B" w14:textId="77777777" w:rsidR="00997AD4" w:rsidRPr="00331188" w:rsidRDefault="00997AD4">
      <w:pPr>
        <w:tabs>
          <w:tab w:val="left" w:pos="3119"/>
        </w:tabs>
        <w:spacing w:line="240" w:lineRule="auto"/>
        <w:jc w:val="left"/>
        <w:rPr>
          <w:rFonts w:ascii="Arial" w:hAnsi="Arial" w:cs="Arial"/>
          <w:sz w:val="24"/>
        </w:rPr>
        <w:sectPr w:rsidR="00997AD4" w:rsidRPr="00331188">
          <w:headerReference w:type="even" r:id="rId9"/>
          <w:footerReference w:type="default" r:id="rId10"/>
          <w:footnotePr>
            <w:numFmt w:val="lowerLetter"/>
            <w:numRestart w:val="eachPage"/>
          </w:footnotePr>
          <w:pgSz w:w="11907" w:h="16840" w:code="9"/>
          <w:pgMar w:top="1134" w:right="1134" w:bottom="1134" w:left="1134" w:header="720" w:footer="720" w:gutter="0"/>
          <w:cols w:space="720"/>
          <w:docGrid w:linePitch="360"/>
        </w:sectPr>
      </w:pPr>
    </w:p>
    <w:p w14:paraId="1FA0CD99" w14:textId="77777777" w:rsidR="00997AD4" w:rsidRPr="00331188" w:rsidRDefault="00997AD4">
      <w:pPr>
        <w:spacing w:line="240" w:lineRule="auto"/>
        <w:jc w:val="center"/>
        <w:rPr>
          <w:rFonts w:ascii="Arial" w:hAnsi="Arial" w:cs="Arial"/>
          <w:b/>
          <w:bCs/>
          <w:sz w:val="24"/>
        </w:rPr>
      </w:pPr>
      <w:r w:rsidRPr="00331188">
        <w:rPr>
          <w:rFonts w:ascii="Arial" w:hAnsi="Arial" w:cs="Arial"/>
          <w:b/>
          <w:bCs/>
          <w:sz w:val="24"/>
        </w:rPr>
        <w:lastRenderedPageBreak/>
        <w:t>NOTE – THE FOLLOWING DOES NOT FORM PART OF THE BYELAWS</w:t>
      </w:r>
    </w:p>
    <w:p w14:paraId="76FC20B9" w14:textId="77777777" w:rsidR="00997AD4" w:rsidRPr="00331188" w:rsidRDefault="00997AD4">
      <w:pPr>
        <w:spacing w:line="240" w:lineRule="auto"/>
        <w:rPr>
          <w:rFonts w:ascii="Arial" w:hAnsi="Arial" w:cs="Arial"/>
        </w:rPr>
      </w:pPr>
    </w:p>
    <w:p w14:paraId="4180579C" w14:textId="77777777" w:rsidR="00997AD4" w:rsidRPr="00331188" w:rsidRDefault="00997AD4">
      <w:pPr>
        <w:spacing w:line="240" w:lineRule="auto"/>
        <w:rPr>
          <w:rFonts w:ascii="Arial" w:hAnsi="Arial" w:cs="Arial"/>
          <w:sz w:val="24"/>
        </w:rPr>
      </w:pPr>
      <w:r w:rsidRPr="00331188">
        <w:rPr>
          <w:rFonts w:ascii="Arial" w:hAnsi="Arial" w:cs="Arial"/>
          <w:sz w:val="24"/>
        </w:rPr>
        <w:t>Proprietors shall take all reasonable steps to ensure compliance with these byelaws by persons working on premises.  Section 16(9) of the Local Government (Miscellaneous Provisions) Act 1982 provides that a registered person shall cause to be prominently displayed on the premises a copy of these byelaws and a copy of any certificate of registration issued to him under Part VIII of the Act.  A person who contravenes section 16(9) shall be guilty of an offence and liable on summary conviction to a fine not exceeding level 2 on the standard scale (see section 16(10)).</w:t>
      </w:r>
    </w:p>
    <w:p w14:paraId="73ADE5FE" w14:textId="77777777" w:rsidR="00997AD4" w:rsidRPr="00331188" w:rsidRDefault="00997AD4">
      <w:pPr>
        <w:spacing w:line="240" w:lineRule="auto"/>
        <w:rPr>
          <w:rFonts w:ascii="Arial" w:hAnsi="Arial" w:cs="Arial"/>
          <w:sz w:val="24"/>
        </w:rPr>
      </w:pPr>
    </w:p>
    <w:p w14:paraId="715D37CF" w14:textId="77777777" w:rsidR="00997AD4" w:rsidRPr="00331188" w:rsidRDefault="00997AD4">
      <w:pPr>
        <w:spacing w:line="240" w:lineRule="auto"/>
        <w:rPr>
          <w:rFonts w:ascii="Arial" w:hAnsi="Arial" w:cs="Arial"/>
          <w:sz w:val="24"/>
        </w:rPr>
      </w:pPr>
      <w:r w:rsidRPr="00331188">
        <w:rPr>
          <w:rFonts w:ascii="Arial" w:hAnsi="Arial" w:cs="Arial"/>
          <w:sz w:val="24"/>
        </w:rPr>
        <w:t>Section 16 of the Local Government (Miscellaneous Provisions) Act 1982 also provides that any person who contravenes these byelaws shall be guilty of an offence and liable on summary conviction to a fine not exceeding level 3 on the standard scale.  If a person registered under Part VIII of the Act is found guilty of contravening these byelaws the Court may, instead of or in addition to imposing a fine, order the suspension or cancellation of the person’s registration.  A court which orders the suspension of or cancellation of a person’s registration may also order the suspension or cancellation of the registration of the premises in which the offence was committed if such premises are occupied by the person found guilty of the offence.  It shall be a defence for the person charged under the relevant sub-sections of section 16 to prove that he took all reasonable precautions and exercised all due diligence to avoid commission of the offence.</w:t>
      </w:r>
    </w:p>
    <w:p w14:paraId="2032E7D4" w14:textId="77777777" w:rsidR="00997AD4" w:rsidRPr="00331188" w:rsidRDefault="00997AD4">
      <w:pPr>
        <w:spacing w:line="240" w:lineRule="auto"/>
        <w:rPr>
          <w:rFonts w:ascii="Arial" w:hAnsi="Arial" w:cs="Arial"/>
          <w:sz w:val="24"/>
        </w:rPr>
      </w:pPr>
    </w:p>
    <w:p w14:paraId="5BF46B95" w14:textId="77777777" w:rsidR="00997AD4" w:rsidRPr="00331188" w:rsidRDefault="00997AD4">
      <w:pPr>
        <w:spacing w:line="240" w:lineRule="auto"/>
        <w:rPr>
          <w:rFonts w:ascii="Arial" w:hAnsi="Arial" w:cs="Arial"/>
          <w:sz w:val="24"/>
        </w:rPr>
      </w:pPr>
      <w:r w:rsidRPr="00331188">
        <w:rPr>
          <w:rFonts w:ascii="Arial" w:hAnsi="Arial" w:cs="Arial"/>
          <w:sz w:val="24"/>
        </w:rPr>
        <w:t>Nothing in these byelaws extends to the practice of acupuncture, or the business of tattooing, semi-permanent skin-colouring, cosmetic piercing or electrolysis by or under the supervision of a person who is registered as a medical practitioner, or to premises in which the practice of acupuncture, or business of tattooing, semi-permanent skin-colouring, cosmetic piercing or electrolysis is carried out by or under the supervision of such a person.</w:t>
      </w:r>
    </w:p>
    <w:p w14:paraId="4AD01C7A" w14:textId="77777777" w:rsidR="00997AD4" w:rsidRPr="00331188" w:rsidRDefault="00997AD4">
      <w:pPr>
        <w:spacing w:line="240" w:lineRule="auto"/>
        <w:rPr>
          <w:rFonts w:ascii="Arial" w:hAnsi="Arial" w:cs="Arial"/>
          <w:sz w:val="24"/>
        </w:rPr>
      </w:pPr>
      <w:r w:rsidRPr="00331188">
        <w:rPr>
          <w:rFonts w:ascii="Arial" w:hAnsi="Arial" w:cs="Arial"/>
          <w:sz w:val="24"/>
        </w:rPr>
        <w:t>Nothing in these byelaws extends to the practice of acupuncture by or under the supervision of a person who is registered as a dentist, or to premises in which the practice of acupuncture is carried out by or under the supervision of such a person.</w:t>
      </w:r>
    </w:p>
    <w:p w14:paraId="2CE15CFF" w14:textId="77777777" w:rsidR="00997AD4" w:rsidRPr="00331188" w:rsidRDefault="00997AD4">
      <w:pPr>
        <w:spacing w:line="240" w:lineRule="auto"/>
        <w:rPr>
          <w:rFonts w:ascii="Arial" w:hAnsi="Arial" w:cs="Arial"/>
          <w:sz w:val="24"/>
        </w:rPr>
      </w:pPr>
    </w:p>
    <w:p w14:paraId="5CB972F5" w14:textId="77777777" w:rsidR="00997AD4" w:rsidRPr="00331188" w:rsidRDefault="00997AD4">
      <w:pPr>
        <w:spacing w:line="240" w:lineRule="auto"/>
        <w:rPr>
          <w:rFonts w:ascii="Arial" w:hAnsi="Arial" w:cs="Arial"/>
          <w:sz w:val="24"/>
        </w:rPr>
      </w:pPr>
      <w:r w:rsidRPr="00331188">
        <w:rPr>
          <w:rFonts w:ascii="Arial" w:hAnsi="Arial" w:cs="Arial"/>
          <w:sz w:val="24"/>
        </w:rPr>
        <w:t>The legislative provisions relevant to acupuncture are those in section 14.  The provisions relevant to treatment other than acupuncture are in section 15.</w:t>
      </w:r>
    </w:p>
    <w:p w14:paraId="517C166A" w14:textId="77777777" w:rsidR="00997AD4" w:rsidRPr="00331188" w:rsidRDefault="00997AD4">
      <w:pPr>
        <w:spacing w:line="240" w:lineRule="auto"/>
        <w:rPr>
          <w:rFonts w:ascii="Arial" w:hAnsi="Arial" w:cs="Arial"/>
          <w:sz w:val="24"/>
        </w:rPr>
      </w:pPr>
    </w:p>
    <w:p w14:paraId="2074D28D" w14:textId="77777777" w:rsidR="00997AD4" w:rsidRPr="00331188" w:rsidRDefault="00997AD4">
      <w:pPr>
        <w:spacing w:line="240" w:lineRule="auto"/>
        <w:rPr>
          <w:rFonts w:ascii="Arial" w:hAnsi="Arial" w:cs="Arial"/>
          <w:sz w:val="24"/>
        </w:rPr>
      </w:pPr>
      <w:r w:rsidRPr="00331188">
        <w:rPr>
          <w:rFonts w:ascii="Arial" w:hAnsi="Arial" w:cs="Arial"/>
          <w:sz w:val="24"/>
        </w:rPr>
        <w:t>The key differences in the application of requirements in respect of the various treatments are as follows:</w:t>
      </w:r>
    </w:p>
    <w:p w14:paraId="3CBE303B" w14:textId="77777777" w:rsidR="00997AD4" w:rsidRPr="00331188" w:rsidRDefault="00997AD4">
      <w:pPr>
        <w:spacing w:line="240" w:lineRule="auto"/>
        <w:rPr>
          <w:rFonts w:ascii="Arial" w:hAnsi="Arial" w:cs="Arial"/>
          <w:sz w:val="24"/>
        </w:rPr>
      </w:pPr>
    </w:p>
    <w:p w14:paraId="674D2C6F" w14:textId="77777777" w:rsidR="00997AD4" w:rsidRPr="00331188" w:rsidRDefault="00997AD4">
      <w:pPr>
        <w:spacing w:line="240" w:lineRule="auto"/>
        <w:rPr>
          <w:rFonts w:ascii="Arial" w:hAnsi="Arial" w:cs="Arial"/>
          <w:b/>
          <w:bCs/>
          <w:sz w:val="24"/>
        </w:rPr>
      </w:pPr>
      <w:r w:rsidRPr="00331188">
        <w:rPr>
          <w:rFonts w:ascii="Arial" w:hAnsi="Arial" w:cs="Arial"/>
          <w:i/>
          <w:iCs/>
          <w:sz w:val="24"/>
        </w:rPr>
        <w:t>The references in the introductory text to provisions of section 14 (acupuncture) of the Local Government (Miscellaneous Provisions) Act 1982</w:t>
      </w:r>
      <w:r w:rsidRPr="00331188">
        <w:rPr>
          <w:rFonts w:ascii="Arial" w:hAnsi="Arial" w:cs="Arial"/>
          <w:sz w:val="24"/>
        </w:rPr>
        <w:t xml:space="preserve"> </w:t>
      </w:r>
      <w:r w:rsidRPr="00331188">
        <w:rPr>
          <w:rFonts w:ascii="Arial" w:hAnsi="Arial" w:cs="Arial"/>
          <w:b/>
          <w:bCs/>
          <w:sz w:val="24"/>
        </w:rPr>
        <w:t>only apply to acupuncture.</w:t>
      </w:r>
    </w:p>
    <w:p w14:paraId="16AE98D6" w14:textId="77777777" w:rsidR="00997AD4" w:rsidRPr="00331188" w:rsidRDefault="00997AD4">
      <w:pPr>
        <w:spacing w:line="240" w:lineRule="auto"/>
        <w:rPr>
          <w:rFonts w:ascii="Arial" w:hAnsi="Arial" w:cs="Arial"/>
          <w:b/>
          <w:bCs/>
          <w:sz w:val="24"/>
        </w:rPr>
      </w:pPr>
    </w:p>
    <w:p w14:paraId="4329FC8B" w14:textId="77777777" w:rsidR="00997AD4" w:rsidRPr="00331188" w:rsidRDefault="00997AD4">
      <w:pPr>
        <w:spacing w:line="240" w:lineRule="auto"/>
        <w:rPr>
          <w:rFonts w:ascii="Arial" w:hAnsi="Arial" w:cs="Arial"/>
          <w:b/>
          <w:bCs/>
          <w:sz w:val="24"/>
        </w:rPr>
      </w:pPr>
      <w:r w:rsidRPr="00331188">
        <w:rPr>
          <w:rFonts w:ascii="Arial" w:hAnsi="Arial" w:cs="Arial"/>
          <w:i/>
          <w:iCs/>
          <w:sz w:val="24"/>
        </w:rPr>
        <w:t>The references in the introductory text to provisions of section 15 (tattooing, semi-permanent skin-colouring, cosmetic piercing and electrolysis) of the Local Government (Miscellaneous Provisions) Act 1982</w:t>
      </w:r>
      <w:r w:rsidRPr="00331188">
        <w:rPr>
          <w:rFonts w:ascii="Arial" w:hAnsi="Arial" w:cs="Arial"/>
          <w:sz w:val="24"/>
        </w:rPr>
        <w:t xml:space="preserve"> </w:t>
      </w:r>
      <w:r w:rsidRPr="00331188">
        <w:rPr>
          <w:rFonts w:ascii="Arial" w:hAnsi="Arial" w:cs="Arial"/>
          <w:b/>
          <w:bCs/>
          <w:sz w:val="24"/>
        </w:rPr>
        <w:t>do not apply to acupuncture.</w:t>
      </w:r>
    </w:p>
    <w:p w14:paraId="3CCA402E" w14:textId="77777777" w:rsidR="00997AD4" w:rsidRPr="00331188" w:rsidRDefault="00997AD4">
      <w:pPr>
        <w:spacing w:line="240" w:lineRule="auto"/>
        <w:rPr>
          <w:rFonts w:ascii="Arial" w:hAnsi="Arial" w:cs="Arial"/>
          <w:b/>
          <w:bCs/>
          <w:sz w:val="24"/>
        </w:rPr>
      </w:pPr>
    </w:p>
    <w:p w14:paraId="360CFCD4" w14:textId="77777777" w:rsidR="00997AD4" w:rsidRPr="00331188" w:rsidRDefault="00997AD4">
      <w:pPr>
        <w:spacing w:line="240" w:lineRule="auto"/>
        <w:rPr>
          <w:rFonts w:ascii="Arial" w:hAnsi="Arial" w:cs="Arial"/>
          <w:b/>
          <w:bCs/>
          <w:sz w:val="24"/>
        </w:rPr>
      </w:pPr>
      <w:r w:rsidRPr="00331188">
        <w:rPr>
          <w:rFonts w:ascii="Arial" w:hAnsi="Arial" w:cs="Arial"/>
          <w:i/>
          <w:iCs/>
          <w:sz w:val="24"/>
        </w:rPr>
        <w:t>The references in paragraph 1(1) in the definition of “premises” to provisions of section 14 (acupuncture)</w:t>
      </w:r>
      <w:r w:rsidRPr="00331188">
        <w:rPr>
          <w:rFonts w:ascii="Arial" w:hAnsi="Arial" w:cs="Arial"/>
          <w:b/>
          <w:bCs/>
          <w:sz w:val="24"/>
        </w:rPr>
        <w:t xml:space="preserve"> only apply to acupuncture.</w:t>
      </w:r>
    </w:p>
    <w:p w14:paraId="2B4C1BDF" w14:textId="77777777" w:rsidR="00997AD4" w:rsidRPr="00331188" w:rsidRDefault="00997AD4">
      <w:pPr>
        <w:spacing w:line="240" w:lineRule="auto"/>
        <w:rPr>
          <w:rFonts w:ascii="Arial" w:hAnsi="Arial" w:cs="Arial"/>
          <w:b/>
          <w:bCs/>
          <w:sz w:val="24"/>
        </w:rPr>
      </w:pPr>
    </w:p>
    <w:p w14:paraId="21D5FF19" w14:textId="77777777" w:rsidR="00997AD4" w:rsidRPr="00331188" w:rsidRDefault="00997AD4">
      <w:pPr>
        <w:spacing w:line="240" w:lineRule="auto"/>
        <w:rPr>
          <w:rFonts w:ascii="Arial" w:hAnsi="Arial" w:cs="Arial"/>
          <w:b/>
          <w:bCs/>
          <w:sz w:val="24"/>
        </w:rPr>
      </w:pPr>
      <w:r w:rsidRPr="00331188">
        <w:rPr>
          <w:rFonts w:ascii="Arial" w:hAnsi="Arial" w:cs="Arial"/>
          <w:i/>
          <w:iCs/>
          <w:sz w:val="24"/>
        </w:rPr>
        <w:t>The references in paragraph 1(1) in the definition of “premises” to provisions of section 15 (tattooing, semi-permanent skin-colouring, cosmetic piercing and electrolysis)</w:t>
      </w:r>
      <w:r w:rsidRPr="00331188">
        <w:rPr>
          <w:rFonts w:ascii="Arial" w:hAnsi="Arial" w:cs="Arial"/>
          <w:b/>
          <w:bCs/>
          <w:sz w:val="24"/>
        </w:rPr>
        <w:t xml:space="preserve"> do not apply to acupuncture.</w:t>
      </w:r>
    </w:p>
    <w:p w14:paraId="29A827B1" w14:textId="77777777" w:rsidR="00997AD4" w:rsidRPr="00331188" w:rsidRDefault="00997AD4">
      <w:pPr>
        <w:spacing w:line="240" w:lineRule="auto"/>
        <w:rPr>
          <w:rFonts w:ascii="Arial" w:hAnsi="Arial" w:cs="Arial"/>
          <w:sz w:val="24"/>
        </w:rPr>
      </w:pPr>
    </w:p>
    <w:p w14:paraId="33078153" w14:textId="77777777" w:rsidR="00997AD4" w:rsidRPr="00331188" w:rsidRDefault="00997AD4">
      <w:pPr>
        <w:spacing w:line="240" w:lineRule="auto"/>
        <w:rPr>
          <w:rFonts w:ascii="Arial" w:hAnsi="Arial" w:cs="Arial"/>
          <w:sz w:val="24"/>
        </w:rPr>
      </w:pPr>
      <w:r w:rsidRPr="00331188">
        <w:rPr>
          <w:rFonts w:ascii="Arial" w:hAnsi="Arial" w:cs="Arial"/>
          <w:i/>
          <w:iCs/>
          <w:sz w:val="24"/>
        </w:rPr>
        <w:lastRenderedPageBreak/>
        <w:t>The requirement in paragraph 2(2) that treatment is given in a treatment area used solely for giving treatment</w:t>
      </w:r>
      <w:r w:rsidRPr="00331188">
        <w:rPr>
          <w:rFonts w:ascii="Arial" w:hAnsi="Arial" w:cs="Arial"/>
          <w:sz w:val="24"/>
        </w:rPr>
        <w:t xml:space="preserve"> </w:t>
      </w:r>
      <w:r w:rsidRPr="00331188">
        <w:rPr>
          <w:rFonts w:ascii="Arial" w:hAnsi="Arial" w:cs="Arial"/>
          <w:b/>
          <w:bCs/>
          <w:sz w:val="24"/>
        </w:rPr>
        <w:t>applies to acupuncture, tattooing, semi-permanent skin-colouring, cosmetic piercing and electrolysis but not to ear-piercing or nose-piercing using a hygienic piercing instrument</w:t>
      </w:r>
      <w:r w:rsidRPr="00331188">
        <w:rPr>
          <w:rFonts w:ascii="Arial" w:hAnsi="Arial" w:cs="Arial"/>
          <w:sz w:val="24"/>
        </w:rPr>
        <w:t>.</w:t>
      </w:r>
    </w:p>
    <w:p w14:paraId="41F926B1" w14:textId="77777777" w:rsidR="00997AD4" w:rsidRPr="00331188" w:rsidRDefault="00997AD4">
      <w:pPr>
        <w:spacing w:line="240" w:lineRule="auto"/>
        <w:rPr>
          <w:rFonts w:ascii="Arial" w:hAnsi="Arial" w:cs="Arial"/>
          <w:sz w:val="24"/>
        </w:rPr>
      </w:pPr>
    </w:p>
    <w:p w14:paraId="0E4E3077" w14:textId="77777777" w:rsidR="00997AD4" w:rsidRPr="00331188" w:rsidRDefault="00997AD4">
      <w:pPr>
        <w:spacing w:line="240" w:lineRule="auto"/>
        <w:rPr>
          <w:rFonts w:ascii="Arial" w:hAnsi="Arial" w:cs="Arial"/>
          <w:sz w:val="24"/>
        </w:rPr>
      </w:pPr>
      <w:r w:rsidRPr="00331188">
        <w:rPr>
          <w:rFonts w:ascii="Arial" w:hAnsi="Arial" w:cs="Arial"/>
          <w:i/>
          <w:iCs/>
          <w:sz w:val="24"/>
        </w:rPr>
        <w:t>The requirement in paragraph 2(3) that the floor of the treatment area be provided with a smooth impervious surface</w:t>
      </w:r>
      <w:r w:rsidRPr="00331188">
        <w:rPr>
          <w:rFonts w:ascii="Arial" w:hAnsi="Arial" w:cs="Arial"/>
          <w:sz w:val="24"/>
        </w:rPr>
        <w:t xml:space="preserve"> </w:t>
      </w:r>
      <w:r w:rsidRPr="00331188">
        <w:rPr>
          <w:rFonts w:ascii="Arial" w:hAnsi="Arial" w:cs="Arial"/>
          <w:b/>
          <w:bCs/>
          <w:sz w:val="24"/>
        </w:rPr>
        <w:t>applies to tattooing, semi-permanent skin-colouring and cosmetic piercing but not to acupuncture or electrolysis or ear-piercing or nose-piercing using a hygienic piercing instrument</w:t>
      </w:r>
      <w:r w:rsidRPr="00331188">
        <w:rPr>
          <w:rFonts w:ascii="Arial" w:hAnsi="Arial" w:cs="Arial"/>
          <w:sz w:val="24"/>
        </w:rPr>
        <w:t>.</w:t>
      </w:r>
    </w:p>
    <w:p w14:paraId="68A608BD" w14:textId="77777777" w:rsidR="00997AD4" w:rsidRPr="00331188" w:rsidRDefault="00997AD4">
      <w:pPr>
        <w:spacing w:line="240" w:lineRule="auto"/>
        <w:rPr>
          <w:rFonts w:ascii="Arial" w:hAnsi="Arial" w:cs="Arial"/>
          <w:sz w:val="24"/>
        </w:rPr>
      </w:pPr>
    </w:p>
    <w:p w14:paraId="44AA2DC0" w14:textId="77777777" w:rsidR="00997AD4" w:rsidRPr="00331188" w:rsidRDefault="00997AD4">
      <w:pPr>
        <w:spacing w:line="240" w:lineRule="auto"/>
        <w:rPr>
          <w:rFonts w:ascii="Arial" w:hAnsi="Arial" w:cs="Arial"/>
          <w:sz w:val="24"/>
        </w:rPr>
      </w:pPr>
      <w:r w:rsidRPr="00331188">
        <w:rPr>
          <w:rFonts w:ascii="Arial" w:hAnsi="Arial" w:cs="Arial"/>
          <w:i/>
          <w:iCs/>
          <w:sz w:val="24"/>
        </w:rPr>
        <w:t>The requirements relating to dye or a container used to hold dye used for treatment in paragraphs 3(1) (a) (iv) and (v)</w:t>
      </w:r>
      <w:r w:rsidRPr="00331188">
        <w:rPr>
          <w:rFonts w:ascii="Arial" w:hAnsi="Arial" w:cs="Arial"/>
          <w:sz w:val="24"/>
        </w:rPr>
        <w:t xml:space="preserve"> </w:t>
      </w:r>
      <w:r w:rsidRPr="00331188">
        <w:rPr>
          <w:rFonts w:ascii="Arial" w:hAnsi="Arial" w:cs="Arial"/>
          <w:b/>
          <w:bCs/>
          <w:sz w:val="24"/>
        </w:rPr>
        <w:t>apply to tattooing and semi-permanent skin-colouring</w:t>
      </w:r>
      <w:r w:rsidRPr="00331188">
        <w:rPr>
          <w:rFonts w:ascii="Arial" w:hAnsi="Arial" w:cs="Arial"/>
          <w:sz w:val="24"/>
        </w:rPr>
        <w:t>.</w:t>
      </w:r>
    </w:p>
    <w:p w14:paraId="4FA9F897" w14:textId="77777777" w:rsidR="00997AD4" w:rsidRPr="00331188" w:rsidRDefault="00997AD4">
      <w:pPr>
        <w:spacing w:line="240" w:lineRule="auto"/>
        <w:rPr>
          <w:rFonts w:ascii="Arial" w:hAnsi="Arial" w:cs="Arial"/>
          <w:sz w:val="24"/>
        </w:rPr>
      </w:pPr>
    </w:p>
    <w:p w14:paraId="46B28A87" w14:textId="77777777" w:rsidR="00997AD4" w:rsidRPr="00331188" w:rsidRDefault="00997AD4">
      <w:pPr>
        <w:spacing w:line="240" w:lineRule="auto"/>
        <w:rPr>
          <w:rFonts w:ascii="Arial" w:hAnsi="Arial" w:cs="Arial"/>
          <w:sz w:val="24"/>
        </w:rPr>
      </w:pPr>
      <w:r w:rsidRPr="00331188">
        <w:rPr>
          <w:rFonts w:ascii="Arial" w:hAnsi="Arial" w:cs="Arial"/>
          <w:i/>
          <w:iCs/>
          <w:sz w:val="24"/>
        </w:rPr>
        <w:t>The requirement in paragraph 4(1)(a)(iii) that an operator wears disposable examination gloves that have not previously been used with another client</w:t>
      </w:r>
      <w:r w:rsidRPr="00331188">
        <w:rPr>
          <w:rFonts w:ascii="Arial" w:hAnsi="Arial" w:cs="Arial"/>
          <w:sz w:val="24"/>
        </w:rPr>
        <w:t xml:space="preserve"> </w:t>
      </w:r>
      <w:r w:rsidRPr="00331188">
        <w:rPr>
          <w:rFonts w:ascii="Arial" w:hAnsi="Arial" w:cs="Arial"/>
          <w:b/>
          <w:bCs/>
          <w:sz w:val="24"/>
        </w:rPr>
        <w:t>does not apply to acupuncture otherwise than in the circumstances described in paragraph 4(3)</w:t>
      </w:r>
      <w:r w:rsidRPr="00331188">
        <w:rPr>
          <w:rFonts w:ascii="Arial" w:hAnsi="Arial" w:cs="Arial"/>
          <w:sz w:val="24"/>
        </w:rPr>
        <w:t>.</w:t>
      </w:r>
    </w:p>
    <w:p w14:paraId="4A79366F" w14:textId="77777777" w:rsidR="00997AD4" w:rsidRPr="00331188" w:rsidRDefault="00997AD4">
      <w:pPr>
        <w:spacing w:line="240" w:lineRule="auto"/>
        <w:rPr>
          <w:rFonts w:ascii="Arial" w:hAnsi="Arial" w:cs="Arial"/>
          <w:sz w:val="24"/>
        </w:rPr>
      </w:pPr>
    </w:p>
    <w:p w14:paraId="272A0E8D" w14:textId="77777777" w:rsidR="00997AD4" w:rsidRPr="00331188" w:rsidRDefault="00997AD4">
      <w:pPr>
        <w:spacing w:line="240" w:lineRule="auto"/>
        <w:rPr>
          <w:rFonts w:ascii="Arial" w:hAnsi="Arial" w:cs="Arial"/>
          <w:i/>
          <w:iCs/>
          <w:sz w:val="24"/>
        </w:rPr>
      </w:pPr>
      <w:r w:rsidRPr="00331188">
        <w:rPr>
          <w:rFonts w:ascii="Arial" w:hAnsi="Arial" w:cs="Arial"/>
          <w:i/>
          <w:iCs/>
          <w:sz w:val="24"/>
        </w:rPr>
        <w:t xml:space="preserve">The provisions of paragraph 4(2) in relation to washing facilities </w:t>
      </w:r>
      <w:r w:rsidRPr="00331188">
        <w:rPr>
          <w:rFonts w:ascii="Arial" w:hAnsi="Arial" w:cs="Arial"/>
          <w:b/>
          <w:bCs/>
          <w:sz w:val="24"/>
        </w:rPr>
        <w:t>apply to cosmetic piercing using only a hygienic piercing instrument</w:t>
      </w:r>
      <w:r w:rsidRPr="00331188">
        <w:rPr>
          <w:rFonts w:ascii="Arial" w:hAnsi="Arial" w:cs="Arial"/>
          <w:i/>
          <w:iCs/>
          <w:sz w:val="24"/>
        </w:rPr>
        <w:t>.</w:t>
      </w:r>
    </w:p>
    <w:p w14:paraId="137D02FA" w14:textId="77777777" w:rsidR="00997AD4" w:rsidRPr="00331188" w:rsidRDefault="00997AD4">
      <w:pPr>
        <w:spacing w:line="240" w:lineRule="auto"/>
        <w:rPr>
          <w:rFonts w:ascii="Arial" w:hAnsi="Arial" w:cs="Arial"/>
          <w:sz w:val="24"/>
        </w:rPr>
      </w:pPr>
    </w:p>
    <w:p w14:paraId="3DE7FCCC" w14:textId="77777777" w:rsidR="00997AD4" w:rsidRPr="00331188" w:rsidRDefault="00997AD4">
      <w:pPr>
        <w:spacing w:line="240" w:lineRule="auto"/>
        <w:rPr>
          <w:rFonts w:ascii="Arial" w:hAnsi="Arial" w:cs="Arial"/>
          <w:sz w:val="24"/>
        </w:rPr>
      </w:pPr>
      <w:r w:rsidRPr="00331188">
        <w:rPr>
          <w:rFonts w:ascii="Arial" w:hAnsi="Arial" w:cs="Arial"/>
          <w:i/>
          <w:iCs/>
          <w:sz w:val="24"/>
        </w:rPr>
        <w:t>The exception whereby the byelaws do not apply to treatment carried out by or under the supervision of a</w:t>
      </w:r>
      <w:r w:rsidRPr="00331188">
        <w:rPr>
          <w:rFonts w:ascii="Arial" w:hAnsi="Arial" w:cs="Arial"/>
          <w:sz w:val="24"/>
        </w:rPr>
        <w:t xml:space="preserve"> </w:t>
      </w:r>
      <w:r w:rsidRPr="00331188">
        <w:rPr>
          <w:rFonts w:ascii="Arial" w:hAnsi="Arial" w:cs="Arial"/>
          <w:b/>
          <w:bCs/>
          <w:sz w:val="24"/>
        </w:rPr>
        <w:t xml:space="preserve">dentist </w:t>
      </w:r>
      <w:r w:rsidRPr="00331188">
        <w:rPr>
          <w:rFonts w:ascii="Arial" w:hAnsi="Arial" w:cs="Arial"/>
          <w:i/>
          <w:iCs/>
          <w:sz w:val="24"/>
        </w:rPr>
        <w:t>applies only to</w:t>
      </w:r>
      <w:r w:rsidRPr="00331188">
        <w:rPr>
          <w:rFonts w:ascii="Arial" w:hAnsi="Arial" w:cs="Arial"/>
          <w:sz w:val="24"/>
        </w:rPr>
        <w:t xml:space="preserve"> </w:t>
      </w:r>
      <w:r w:rsidRPr="00331188">
        <w:rPr>
          <w:rFonts w:ascii="Arial" w:hAnsi="Arial" w:cs="Arial"/>
          <w:b/>
          <w:bCs/>
          <w:sz w:val="24"/>
        </w:rPr>
        <w:t>acupuncture (see section 14(8) of the Act)</w:t>
      </w:r>
      <w:r w:rsidRPr="00331188">
        <w:rPr>
          <w:rFonts w:ascii="Arial" w:hAnsi="Arial" w:cs="Arial"/>
          <w:sz w:val="24"/>
        </w:rPr>
        <w:t>.</w:t>
      </w:r>
    </w:p>
    <w:p w14:paraId="07D9FEFF" w14:textId="77777777" w:rsidR="00997AD4" w:rsidRPr="00331188" w:rsidRDefault="00997AD4">
      <w:pPr>
        <w:tabs>
          <w:tab w:val="left" w:pos="3119"/>
        </w:tabs>
        <w:spacing w:line="240" w:lineRule="auto"/>
        <w:jc w:val="left"/>
        <w:rPr>
          <w:rFonts w:ascii="Arial" w:hAnsi="Arial" w:cs="Arial"/>
          <w:sz w:val="24"/>
        </w:rPr>
      </w:pPr>
    </w:p>
    <w:sectPr w:rsidR="00997AD4" w:rsidRPr="00331188">
      <w:footnotePr>
        <w:numFmt w:val="lowerLetter"/>
        <w:numRestart w:val="eachPage"/>
      </w:footnotePr>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51D5" w14:textId="77777777" w:rsidR="000F7AD4" w:rsidRDefault="000F7AD4">
      <w:r>
        <w:separator/>
      </w:r>
    </w:p>
    <w:p w14:paraId="62DB54FC" w14:textId="77777777" w:rsidR="000F7AD4" w:rsidRDefault="000F7AD4"/>
  </w:endnote>
  <w:endnote w:type="continuationSeparator" w:id="0">
    <w:p w14:paraId="376D1FFB" w14:textId="77777777" w:rsidR="000F7AD4" w:rsidRDefault="000F7AD4">
      <w:r>
        <w:continuationSeparator/>
      </w:r>
    </w:p>
    <w:p w14:paraId="7070BEAA" w14:textId="77777777" w:rsidR="000F7AD4" w:rsidRDefault="000F7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DB46" w14:textId="77777777" w:rsidR="00997AD4" w:rsidRDefault="00997AD4">
    <w:pPr>
      <w:framePr w:wrap="auto" w:vAnchor="text" w:hAnchor="margin" w:xAlign="center" w:y="1"/>
    </w:pPr>
    <w:r>
      <w:fldChar w:fldCharType="begin"/>
    </w:r>
    <w:r>
      <w:instrText xml:space="preserve">PAGE  </w:instrText>
    </w:r>
    <w:r>
      <w:fldChar w:fldCharType="separate"/>
    </w:r>
    <w:r>
      <w:rPr>
        <w:noProof/>
      </w:rPr>
      <w:t>8</w:t>
    </w:r>
    <w:r>
      <w:fldChar w:fldCharType="end"/>
    </w:r>
  </w:p>
  <w:p w14:paraId="3E39CE84" w14:textId="77777777" w:rsidR="00997AD4" w:rsidRDefault="00997AD4">
    <w:pPr>
      <w:rPr>
        <w:sz w:val="12"/>
      </w:rPr>
    </w:pPr>
    <w:r>
      <w:rPr>
        <w:sz w:val="12"/>
      </w:rPr>
      <w:t>byelawspagemaker/tattoopiercing.doc</w:t>
    </w:r>
  </w:p>
  <w:p w14:paraId="4AB47FBC" w14:textId="77777777" w:rsidR="00997AD4" w:rsidRDefault="00997A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D3767" w14:textId="77777777" w:rsidR="000F7AD4" w:rsidRDefault="000F7AD4">
      <w:r>
        <w:continuationSeparator/>
      </w:r>
    </w:p>
    <w:p w14:paraId="2C23617B" w14:textId="77777777" w:rsidR="000F7AD4" w:rsidRDefault="000F7AD4"/>
    <w:p w14:paraId="645F7749" w14:textId="77777777" w:rsidR="000F7AD4" w:rsidRDefault="000F7AD4"/>
  </w:footnote>
  <w:footnote w:type="continuationSeparator" w:id="0">
    <w:p w14:paraId="0F1FB9DD" w14:textId="77777777" w:rsidR="000F7AD4" w:rsidRDefault="000F7AD4">
      <w:r>
        <w:continuationSeparator/>
      </w:r>
    </w:p>
    <w:p w14:paraId="4F2A00B1" w14:textId="77777777" w:rsidR="000F7AD4" w:rsidRDefault="000F7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09163" w14:textId="77777777" w:rsidR="00997AD4" w:rsidRDefault="00997A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65E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FA05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D4C8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5492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0467C"/>
    <w:lvl w:ilvl="0">
      <w:start w:val="1"/>
      <w:numFmt w:val="bullet"/>
      <w:pStyle w:val="Heading2"/>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B6E4EEB4"/>
    <w:lvl w:ilvl="0">
      <w:start w:val="1"/>
      <w:numFmt w:val="bullet"/>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E6E44518"/>
    <w:lvl w:ilvl="0">
      <w:start w:val="1"/>
      <w:numFmt w:val="bullet"/>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AF1E885E"/>
    <w:lvl w:ilvl="0">
      <w:start w:val="1"/>
      <w:numFmt w:val="bullet"/>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2DE65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16BEFC"/>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FFFFFFFB"/>
    <w:multiLevelType w:val="multilevel"/>
    <w:tmpl w:val="D3D637BE"/>
    <w:lvl w:ilvl="0">
      <w:start w:val="1"/>
      <w:numFmt w:val="decimal"/>
      <w:lvlText w:val="%1."/>
      <w:legacy w:legacy="1" w:legacySpace="0" w:legacyIndent="0"/>
      <w:lvlJc w:val="left"/>
      <w:rPr>
        <w:b/>
        <w:i w:val="0"/>
      </w:rPr>
    </w:lvl>
    <w:lvl w:ilvl="1">
      <w:start w:val="2"/>
      <w:numFmt w:val="decimal"/>
      <w:lvlText w:val="(%2)"/>
      <w:legacy w:legacy="1" w:legacySpace="113" w:legacyIndent="0"/>
      <w:lvlJc w:val="left"/>
      <w:rPr>
        <w:b w:val="0"/>
        <w:i w:val="0"/>
      </w:rPr>
    </w:lvl>
    <w:lvl w:ilvl="2">
      <w:start w:val="1"/>
      <w:numFmt w:val="lowerLetter"/>
      <w:pStyle w:val="Heading3"/>
      <w:lvlText w:val="(%3)"/>
      <w:legacy w:legacy="1" w:legacySpace="170" w:legacyIndent="0"/>
      <w:lvlJc w:val="left"/>
      <w:pPr>
        <w:ind w:left="851"/>
      </w:pPr>
    </w:lvl>
    <w:lvl w:ilvl="3">
      <w:start w:val="1"/>
      <w:numFmt w:val="lowerRoman"/>
      <w:pStyle w:val="Heading4"/>
      <w:lvlText w:val="(%4)"/>
      <w:legacy w:legacy="1" w:legacySpace="170" w:legacyIndent="0"/>
      <w:lvlJc w:val="left"/>
      <w:pPr>
        <w:ind w:left="1389"/>
      </w:pPr>
    </w:lvl>
    <w:lvl w:ilvl="4">
      <w:start w:val="27"/>
      <w:numFmt w:val="lowerLetter"/>
      <w:lvlText w:val="(%5)"/>
      <w:legacy w:legacy="1" w:legacySpace="170" w:legacyIndent="0"/>
      <w:lvlJc w:val="left"/>
      <w:pPr>
        <w:ind w:left="2126"/>
      </w:pPr>
    </w:lvl>
    <w:lvl w:ilvl="5">
      <w:start w:val="1"/>
      <w:numFmt w:val="lowerLetter"/>
      <w:pStyle w:val="Heading6"/>
      <w:lvlText w:val="(%6)"/>
      <w:legacy w:legacy="1" w:legacySpace="0" w:legacyIndent="720"/>
      <w:lvlJc w:val="left"/>
      <w:pPr>
        <w:ind w:left="720" w:hanging="720"/>
      </w:pPr>
    </w:lvl>
    <w:lvl w:ilvl="6">
      <w:start w:val="1"/>
      <w:numFmt w:val="lowerRoman"/>
      <w:pStyle w:val="Heading7"/>
      <w:lvlText w:val="(%7)"/>
      <w:legacy w:legacy="1" w:legacySpace="0" w:legacyIndent="720"/>
      <w:lvlJc w:val="left"/>
      <w:pPr>
        <w:ind w:left="1440" w:hanging="720"/>
      </w:pPr>
    </w:lvl>
    <w:lvl w:ilvl="7">
      <w:start w:val="1"/>
      <w:numFmt w:val="lowerLetter"/>
      <w:pStyle w:val="Heading8"/>
      <w:lvlText w:val="(%8)"/>
      <w:legacy w:legacy="1" w:legacySpace="0" w:legacyIndent="720"/>
      <w:lvlJc w:val="left"/>
      <w:pPr>
        <w:ind w:left="2160" w:hanging="720"/>
      </w:pPr>
    </w:lvl>
    <w:lvl w:ilvl="8">
      <w:start w:val="1"/>
      <w:numFmt w:val="lowerRoman"/>
      <w:pStyle w:val="Heading9"/>
      <w:lvlText w:val="(%9)"/>
      <w:legacy w:legacy="1" w:legacySpace="0" w:legacyIndent="720"/>
      <w:lvlJc w:val="left"/>
      <w:pPr>
        <w:ind w:left="2880" w:hanging="720"/>
      </w:pPr>
    </w:lvl>
  </w:abstractNum>
  <w:abstractNum w:abstractNumId="11" w15:restartNumberingAfterBreak="0">
    <w:nsid w:val="01BE0633"/>
    <w:multiLevelType w:val="hybridMultilevel"/>
    <w:tmpl w:val="0B840984"/>
    <w:lvl w:ilvl="0" w:tplc="0409000F">
      <w:start w:val="1"/>
      <w:numFmt w:val="decimal"/>
      <w:lvlText w:val="%1."/>
      <w:lvlJc w:val="left"/>
      <w:pPr>
        <w:tabs>
          <w:tab w:val="num" w:pos="720"/>
        </w:tabs>
        <w:ind w:left="720" w:hanging="360"/>
      </w:pPr>
    </w:lvl>
    <w:lvl w:ilvl="1" w:tplc="87124994">
      <w:start w:val="2"/>
      <w:numFmt w:val="lowerLetter"/>
      <w:lvlText w:val="(%2)"/>
      <w:lvlJc w:val="left"/>
      <w:pPr>
        <w:tabs>
          <w:tab w:val="num" w:pos="1770"/>
        </w:tabs>
        <w:ind w:left="1770" w:hanging="69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9B29A6"/>
    <w:multiLevelType w:val="singleLevel"/>
    <w:tmpl w:val="9AC065BC"/>
    <w:lvl w:ilvl="0">
      <w:start w:val="1"/>
      <w:numFmt w:val="decimal"/>
      <w:lvlText w:val="%1."/>
      <w:legacy w:legacy="1" w:legacySpace="0" w:legacyIndent="360"/>
      <w:lvlJc w:val="left"/>
      <w:pPr>
        <w:ind w:left="360" w:hanging="360"/>
      </w:pPr>
    </w:lvl>
  </w:abstractNum>
  <w:abstractNum w:abstractNumId="13" w15:restartNumberingAfterBreak="0">
    <w:nsid w:val="1D335DEE"/>
    <w:multiLevelType w:val="hybridMultilevel"/>
    <w:tmpl w:val="77F216FC"/>
    <w:lvl w:ilvl="0" w:tplc="FFFFFFFF">
      <w:numFmt w:val="bullet"/>
      <w:lvlText w:val="-"/>
      <w:lvlJc w:val="left"/>
      <w:pPr>
        <w:tabs>
          <w:tab w:val="num" w:pos="1420"/>
        </w:tabs>
        <w:ind w:left="1420" w:hanging="720"/>
      </w:pPr>
      <w:rPr>
        <w:rFonts w:ascii="Times New Roman" w:eastAsia="Times New Roman" w:hAnsi="Times New Roman" w:hint="default"/>
      </w:rPr>
    </w:lvl>
    <w:lvl w:ilvl="1" w:tplc="FFFFFFFF">
      <w:start w:val="1"/>
      <w:numFmt w:val="bullet"/>
      <w:lvlText w:val="o"/>
      <w:lvlJc w:val="left"/>
      <w:pPr>
        <w:tabs>
          <w:tab w:val="num" w:pos="1780"/>
        </w:tabs>
        <w:ind w:left="1780" w:hanging="360"/>
      </w:pPr>
      <w:rPr>
        <w:rFonts w:ascii="Courier New" w:hAnsi="Courier New" w:cs="Courier New" w:hint="default"/>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15:restartNumberingAfterBreak="0">
    <w:nsid w:val="1E5D1095"/>
    <w:multiLevelType w:val="hybridMultilevel"/>
    <w:tmpl w:val="960E39CE"/>
    <w:lvl w:ilvl="0" w:tplc="FFFFFFFF">
      <w:numFmt w:val="bullet"/>
      <w:lvlText w:val="-"/>
      <w:lvlJc w:val="left"/>
      <w:pPr>
        <w:tabs>
          <w:tab w:val="num" w:pos="720"/>
        </w:tabs>
        <w:ind w:left="720" w:hanging="72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15" w15:restartNumberingAfterBreak="0">
    <w:nsid w:val="25986E64"/>
    <w:multiLevelType w:val="multilevel"/>
    <w:tmpl w:val="0E8E9EF0"/>
    <w:name w:val="IRseq1"/>
    <w:lvl w:ilvl="0">
      <w:start w:val="1"/>
      <w:numFmt w:val="decimal"/>
      <w:suff w:val="nothing"/>
      <w:lvlText w:val="%1."/>
      <w:lvlJc w:val="left"/>
      <w:pPr>
        <w:tabs>
          <w:tab w:val="num" w:pos="0"/>
        </w:tabs>
        <w:ind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6"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87E4549"/>
    <w:multiLevelType w:val="singleLevel"/>
    <w:tmpl w:val="9AC065BC"/>
    <w:lvl w:ilvl="0">
      <w:start w:val="1"/>
      <w:numFmt w:val="decimal"/>
      <w:lvlText w:val="%1."/>
      <w:legacy w:legacy="1" w:legacySpace="0" w:legacyIndent="360"/>
      <w:lvlJc w:val="left"/>
      <w:pPr>
        <w:ind w:left="360" w:hanging="360"/>
      </w:pPr>
    </w:lvl>
  </w:abstractNum>
  <w:abstractNum w:abstractNumId="18" w15:restartNumberingAfterBreak="0">
    <w:nsid w:val="630E5D1B"/>
    <w:multiLevelType w:val="multilevel"/>
    <w:tmpl w:val="61CC3102"/>
    <w:name w:val="seq1"/>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897"/>
        </w:tabs>
        <w:ind w:left="897" w:hanging="397"/>
      </w:pPr>
      <w:rPr>
        <w:rFonts w:hint="default"/>
      </w:rPr>
    </w:lvl>
    <w:lvl w:ilvl="3">
      <w:start w:val="1"/>
      <w:numFmt w:val="lowerRoman"/>
      <w:lvlText w:val="(%4)"/>
      <w:lvlJc w:val="left"/>
      <w:pPr>
        <w:tabs>
          <w:tab w:val="num" w:pos="1741"/>
        </w:tabs>
        <w:ind w:left="1134" w:hanging="113"/>
      </w:pPr>
      <w:rPr>
        <w:rFonts w:hint="default"/>
      </w:rPr>
    </w:lvl>
    <w:lvl w:ilvl="4">
      <w:start w:val="27"/>
      <w:numFmt w:val="lowerLetter"/>
      <w:pStyle w:val="Heading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9" w15:restartNumberingAfterBreak="0">
    <w:nsid w:val="667B5878"/>
    <w:multiLevelType w:val="multilevel"/>
    <w:tmpl w:val="4B929542"/>
    <w:lvl w:ilvl="0">
      <w:start w:val="1"/>
      <w:numFmt w:val="decimal"/>
      <w:suff w:val="nothing"/>
      <w:lvlText w:val="%1."/>
      <w:lvlJc w:val="left"/>
      <w:pPr>
        <w:ind w:firstLine="170"/>
      </w:pPr>
      <w:rPr>
        <w:rFonts w:hint="default"/>
        <w:b/>
        <w:i w:val="0"/>
      </w:rPr>
    </w:lvl>
    <w:lvl w:ilvl="1">
      <w:start w:val="1"/>
      <w:numFmt w:val="decimal"/>
      <w:suff w:val="space"/>
      <w:lvlText w:val="(%2)"/>
      <w:lvlJc w:val="left"/>
      <w:pPr>
        <w:ind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10"/>
  </w:num>
  <w:num w:numId="7">
    <w:abstractNumId w:val="10"/>
  </w:num>
  <w:num w:numId="8">
    <w:abstractNumId w:val="18"/>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4"/>
  </w:num>
  <w:num w:numId="19">
    <w:abstractNumId w:val="18"/>
  </w:num>
  <w:num w:numId="20">
    <w:abstractNumId w:val="16"/>
  </w:num>
  <w:num w:numId="21">
    <w:abstractNumId w:val="15"/>
  </w:num>
  <w:num w:numId="22">
    <w:abstractNumId w:val="9"/>
  </w:num>
  <w:num w:numId="23">
    <w:abstractNumId w:val="7"/>
  </w:num>
  <w:num w:numId="24">
    <w:abstractNumId w:val="6"/>
  </w:num>
  <w:num w:numId="25">
    <w:abstractNumId w:val="5"/>
  </w:num>
  <w:num w:numId="26">
    <w:abstractNumId w:val="8"/>
  </w:num>
  <w:num w:numId="27">
    <w:abstractNumId w:val="3"/>
  </w:num>
  <w:num w:numId="28">
    <w:abstractNumId w:val="2"/>
  </w:num>
  <w:num w:numId="29">
    <w:abstractNumId w:val="1"/>
  </w:num>
  <w:num w:numId="30">
    <w:abstractNumId w:val="0"/>
  </w:num>
  <w:num w:numId="31">
    <w:abstractNumId w:val="12"/>
  </w:num>
  <w:num w:numId="32">
    <w:abstractNumId w:val="17"/>
  </w:num>
  <w:num w:numId="33">
    <w:abstractNumId w:val="19"/>
  </w:num>
  <w:num w:numId="34">
    <w:abstractNumId w:val="13"/>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oNotHyphenateCaps/>
  <w:drawingGridHorizontalSpacing w:val="25"/>
  <w:displayHorizontalDrawingGridEvery w:val="2"/>
  <w:displayVerticalDrawingGridEvery w:val="2"/>
  <w:characterSpacingControl w:val="doNotCompress"/>
  <w:hdrShapeDefaults>
    <o:shapedefaults v:ext="edit" spidmax="2049"/>
  </w:hdrShapeDefaults>
  <w:footnotePr>
    <w:numFmt w:val="lowerLette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irtyDoc" w:val="-1"/>
    <w:docVar w:name="documentMinorType" w:val="Order"/>
    <w:docVar w:name="documentType" w:val="Eng"/>
    <w:docVar w:name="Lang" w:val="Eng"/>
    <w:docVar w:name="list1Type1" w:val="Emdash"/>
    <w:docVar w:name="LQ_Quote" w:val="True"/>
    <w:docVar w:name="numberStylePart" w:val="Arabic"/>
    <w:docVar w:name="numberStyleSchedule" w:val="Arabic"/>
    <w:docVar w:name="numberStyleSection" w:val="Arabic"/>
    <w:docVar w:name="numberStyleSubpart" w:val="Arabic"/>
    <w:docVar w:name="numberStyleSubsection" w:val="Arabic"/>
    <w:docVar w:name="RegOrders" w:val="Order"/>
    <w:docVar w:name="sublist1Type" w:val="Bullet"/>
    <w:docVar w:name="toolbarHeading" w:val="Visible"/>
    <w:docVar w:name="toolbarLists" w:val="Visible"/>
    <w:docVar w:name="toolbarParagraph" w:val="Visible"/>
    <w:docVar w:name="VerMajor" w:val="4"/>
    <w:docVar w:name="VerMinor" w:val="1"/>
  </w:docVars>
  <w:rsids>
    <w:rsidRoot w:val="00331188"/>
    <w:rsid w:val="000F7AD4"/>
    <w:rsid w:val="00187DEE"/>
    <w:rsid w:val="00331188"/>
    <w:rsid w:val="00492422"/>
    <w:rsid w:val="0065429C"/>
    <w:rsid w:val="00997AD4"/>
    <w:rsid w:val="00CA6D75"/>
    <w:rsid w:val="00F75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33FFC"/>
  <w15:chartTrackingRefBased/>
  <w15:docId w15:val="{22B79BB7-4333-4F61-88E9-7533E545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20" w:lineRule="atLeast"/>
      <w:jc w:val="both"/>
    </w:pPr>
    <w:rPr>
      <w:sz w:val="21"/>
      <w:szCs w:val="21"/>
      <w:lang w:eastAsia="en-US"/>
    </w:rPr>
  </w:style>
  <w:style w:type="paragraph" w:styleId="Heading1">
    <w:name w:val="heading 1"/>
    <w:basedOn w:val="Normal"/>
    <w:next w:val="Normal"/>
    <w:qFormat/>
    <w:pPr>
      <w:numPr>
        <w:numId w:val="4"/>
      </w:numPr>
      <w:spacing w:before="160"/>
      <w:outlineLvl w:val="0"/>
    </w:pPr>
    <w:rPr>
      <w:kern w:val="28"/>
    </w:rPr>
  </w:style>
  <w:style w:type="paragraph" w:styleId="Heading2">
    <w:name w:val="heading 2"/>
    <w:basedOn w:val="Normal"/>
    <w:next w:val="Normal"/>
    <w:qFormat/>
    <w:pPr>
      <w:numPr>
        <w:ilvl w:val="1"/>
        <w:numId w:val="5"/>
      </w:numPr>
      <w:spacing w:before="80"/>
      <w:outlineLvl w:val="1"/>
    </w:pPr>
  </w:style>
  <w:style w:type="paragraph" w:styleId="Heading3">
    <w:name w:val="heading 3"/>
    <w:basedOn w:val="Normal"/>
    <w:qFormat/>
    <w:pPr>
      <w:numPr>
        <w:ilvl w:val="2"/>
        <w:numId w:val="6"/>
      </w:numPr>
      <w:spacing w:before="80"/>
      <w:outlineLvl w:val="2"/>
    </w:pPr>
  </w:style>
  <w:style w:type="paragraph" w:styleId="Heading4">
    <w:name w:val="heading 4"/>
    <w:basedOn w:val="Normal"/>
    <w:qFormat/>
    <w:pPr>
      <w:numPr>
        <w:ilvl w:val="3"/>
        <w:numId w:val="7"/>
      </w:numPr>
      <w:spacing w:before="80"/>
      <w:outlineLvl w:val="3"/>
    </w:pPr>
  </w:style>
  <w:style w:type="paragraph" w:styleId="Heading5">
    <w:name w:val="heading 5"/>
    <w:basedOn w:val="Normal"/>
    <w:next w:val="Normal"/>
    <w:qFormat/>
    <w:pPr>
      <w:numPr>
        <w:ilvl w:val="4"/>
        <w:numId w:val="8"/>
      </w:numPr>
      <w:spacing w:before="80"/>
      <w:ind w:left="2126"/>
      <w:outlineLvl w:val="4"/>
    </w:pPr>
  </w:style>
  <w:style w:type="paragraph" w:styleId="Heading6">
    <w:name w:val="heading 6"/>
    <w:basedOn w:val="Normal"/>
    <w:next w:val="Normal"/>
    <w:qFormat/>
    <w:pPr>
      <w:numPr>
        <w:ilvl w:val="5"/>
        <w:numId w:val="9"/>
      </w:numPr>
      <w:spacing w:after="240"/>
      <w:jc w:val="center"/>
      <w:outlineLvl w:val="5"/>
    </w:pPr>
    <w:rPr>
      <w:b/>
      <w:bCs/>
    </w:rPr>
  </w:style>
  <w:style w:type="paragraph" w:styleId="Heading7">
    <w:name w:val="heading 7"/>
    <w:basedOn w:val="Normal"/>
    <w:next w:val="Normal"/>
    <w:qFormat/>
    <w:pPr>
      <w:numPr>
        <w:ilvl w:val="6"/>
        <w:numId w:val="10"/>
      </w:numPr>
      <w:spacing w:before="240" w:after="60"/>
      <w:outlineLvl w:val="6"/>
    </w:pPr>
    <w:rPr>
      <w:rFonts w:ascii="Arial" w:hAnsi="Arial" w:cs="Arial"/>
    </w:rPr>
  </w:style>
  <w:style w:type="paragraph" w:styleId="Heading8">
    <w:name w:val="heading 8"/>
    <w:basedOn w:val="Normal"/>
    <w:next w:val="Normal"/>
    <w:qFormat/>
    <w:pPr>
      <w:numPr>
        <w:ilvl w:val="7"/>
        <w:numId w:val="11"/>
      </w:numPr>
      <w:spacing w:before="240" w:after="60"/>
      <w:outlineLvl w:val="7"/>
    </w:pPr>
    <w:rPr>
      <w:rFonts w:ascii="Arial" w:hAnsi="Arial" w:cs="Arial"/>
      <w:i/>
      <w:iCs/>
    </w:rPr>
  </w:style>
  <w:style w:type="paragraph" w:styleId="Heading9">
    <w:name w:val="heading 9"/>
    <w:basedOn w:val="Normal"/>
    <w:next w:val="Normal"/>
    <w:qFormat/>
    <w:pPr>
      <w:numPr>
        <w:ilvl w:val="8"/>
        <w:numId w:val="12"/>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ind w:left="567" w:hanging="567"/>
    </w:pPr>
    <w:rPr>
      <w:sz w:val="24"/>
    </w:rPr>
  </w:style>
  <w:style w:type="paragraph" w:customStyle="1" w:styleId="indent2">
    <w:name w:val="indent2"/>
    <w:basedOn w:val="indent"/>
    <w:pPr>
      <w:tabs>
        <w:tab w:val="left" w:pos="567"/>
      </w:tabs>
      <w:ind w:left="1134" w:hanging="1134"/>
    </w:pPr>
  </w:style>
  <w:style w:type="paragraph" w:customStyle="1" w:styleId="indent3">
    <w:name w:val="indent3"/>
    <w:basedOn w:val="indent2"/>
    <w:pPr>
      <w:tabs>
        <w:tab w:val="left" w:pos="1134"/>
      </w:tabs>
      <w:ind w:left="1701" w:hanging="1701"/>
    </w:pPr>
  </w:style>
  <w:style w:type="paragraph" w:customStyle="1" w:styleId="indent4">
    <w:name w:val="indent4"/>
    <w:basedOn w:val="indent3"/>
    <w:pPr>
      <w:tabs>
        <w:tab w:val="left" w:pos="1701"/>
      </w:tabs>
      <w:ind w:left="2268" w:hanging="2268"/>
    </w:pPr>
  </w:style>
  <w:style w:type="paragraph" w:customStyle="1" w:styleId="indent5">
    <w:name w:val="indent5"/>
    <w:basedOn w:val="indent4"/>
    <w:pPr>
      <w:tabs>
        <w:tab w:val="left" w:pos="2268"/>
      </w:tabs>
      <w:ind w:left="2835" w:hanging="28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2101</Words>
  <Characters>11979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SI Template</vt:lpstr>
    </vt:vector>
  </TitlesOfParts>
  <Company>TSO Ltd</Company>
  <LinksUpToDate>false</LinksUpToDate>
  <CharactersWithSpaces>14052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Template</dc:title>
  <dc:subject/>
  <dc:creator>87248513</dc:creator>
  <cp:keywords/>
  <dc:description>Version 4.1</dc:description>
  <cp:lastModifiedBy>William Larcombe</cp:lastModifiedBy>
  <cp:revision>5</cp:revision>
  <cp:lastPrinted>2010-01-12T09:35:00Z</cp:lastPrinted>
  <dcterms:created xsi:type="dcterms:W3CDTF">2019-03-13T08:35:00Z</dcterms:created>
  <dcterms:modified xsi:type="dcterms:W3CDTF">2019-03-13T08:38:00Z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itialWordVersion">
    <vt:lpwstr>9.0</vt:lpwstr>
  </property>
  <property fmtid="{D5CDD505-2E9C-101B-9397-08002B2CF9AE}" pid="3" name="InitialOSversion">
    <vt:lpwstr>Windows NT 5.0</vt:lpwstr>
  </property>
  <property fmtid="{D5CDD505-2E9C-101B-9397-08002B2CF9AE}" pid="4" name="LastWordVersion">
    <vt:lpwstr>10.0</vt:lpwstr>
  </property>
  <property fmtid="{D5CDD505-2E9C-101B-9397-08002B2CF9AE}" pid="5" name="LastOSversion">
    <vt:lpwstr>Windows NT 5.1</vt:lpwstr>
  </property>
  <property fmtid="{D5CDD505-2E9C-101B-9397-08002B2CF9AE}" pid="6" name="SI template version">
    <vt:lpwstr>Version 4.1</vt:lpwstr>
  </property>
  <property fmtid="{D5CDD505-2E9C-101B-9397-08002B2CF9AE}" pid="7" name="_AdHocReviewCycleID">
    <vt:i4>92295491</vt:i4>
  </property>
  <property fmtid="{D5CDD505-2E9C-101B-9397-08002B2CF9AE}" pid="8" name="_EmailSubject">
    <vt:lpwstr>Document for validating</vt:lpwstr>
  </property>
  <property fmtid="{D5CDD505-2E9C-101B-9397-08002B2CF9AE}" pid="9" name="_AuthorEmail">
    <vt:lpwstr>Charmaine.Hume-DWP@EXMAR01.dss.gsi.gov.uk</vt:lpwstr>
  </property>
  <property fmtid="{D5CDD505-2E9C-101B-9397-08002B2CF9AE}" pid="10" name="_AuthorEmailDisplayName">
    <vt:lpwstr>Hume Charmaine LSPG Sol A</vt:lpwstr>
  </property>
  <property fmtid="{D5CDD505-2E9C-101B-9397-08002B2CF9AE}" pid="11" name="_PreviousAdHocReviewCycleID">
    <vt:i4>-356752419</vt:i4>
  </property>
  <property fmtid="{D5CDD505-2E9C-101B-9397-08002B2CF9AE}" pid="12" name="_ReviewingToolsShownOnce">
    <vt:lpwstr/>
  </property>
</Properties>
</file>