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E8354" w14:textId="0CDFC631" w:rsidR="001C6E79" w:rsidRDefault="001C6E79" w:rsidP="000D58DB">
      <w:pPr>
        <w:pStyle w:val="BodyText"/>
        <w:rPr>
          <w:rFonts w:ascii="Times New Roman"/>
          <w:sz w:val="20"/>
        </w:rPr>
      </w:pPr>
    </w:p>
    <w:p w14:paraId="7320D9B8" w14:textId="6B8851F4" w:rsidR="001C6E79" w:rsidRDefault="001C6E79" w:rsidP="000D58DB">
      <w:pPr>
        <w:pStyle w:val="BodyText"/>
        <w:rPr>
          <w:rFonts w:ascii="Times New Roman"/>
          <w:sz w:val="20"/>
        </w:rPr>
      </w:pPr>
    </w:p>
    <w:p w14:paraId="4E4D6E7D" w14:textId="2D5D0CE2" w:rsidR="001C6E79" w:rsidRPr="005F4AB5" w:rsidRDefault="00610306" w:rsidP="000D58DB">
      <w:pPr>
        <w:pStyle w:val="BodyText"/>
        <w:rPr>
          <w:rFonts w:ascii="Times New Roman"/>
          <w:sz w:val="20"/>
        </w:rPr>
      </w:pPr>
      <w:r w:rsidRPr="005F4AB5">
        <w:rPr>
          <w:b/>
          <w:noProof/>
        </w:rPr>
        <w:drawing>
          <wp:inline distT="0" distB="0" distL="0" distR="0" wp14:anchorId="1D68A98B" wp14:editId="60E16270">
            <wp:extent cx="3025740" cy="1193800"/>
            <wp:effectExtent l="0" t="0" r="3810" b="6350"/>
            <wp:docPr id="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20022" cy="1230999"/>
                    </a:xfrm>
                    <a:prstGeom prst="rect">
                      <a:avLst/>
                    </a:prstGeom>
                  </pic:spPr>
                </pic:pic>
              </a:graphicData>
            </a:graphic>
          </wp:inline>
        </w:drawing>
      </w:r>
    </w:p>
    <w:p w14:paraId="2B3A76AA" w14:textId="77777777" w:rsidR="00150C65" w:rsidRPr="005F4AB5" w:rsidRDefault="00150C65" w:rsidP="000D58DB">
      <w:pPr>
        <w:pStyle w:val="Heading1"/>
        <w:rPr>
          <w:color w:val="00B050"/>
        </w:rPr>
      </w:pPr>
      <w:bookmarkStart w:id="0" w:name="_Toc210302549"/>
      <w:bookmarkStart w:id="1" w:name="_Toc210303199"/>
      <w:bookmarkStart w:id="2" w:name="_Toc210303287"/>
      <w:bookmarkStart w:id="3" w:name="_Toc178843345"/>
      <w:bookmarkStart w:id="4" w:name="_Toc208233902"/>
    </w:p>
    <w:p w14:paraId="2C6F0B0C" w14:textId="3B0789B3" w:rsidR="00150C65" w:rsidRPr="005F4AB5" w:rsidRDefault="000846BA" w:rsidP="000D58DB">
      <w:pPr>
        <w:pStyle w:val="Heading1"/>
      </w:pPr>
      <w:bookmarkStart w:id="5" w:name="_Toc210307730"/>
      <w:bookmarkStart w:id="6" w:name="_Toc210308078"/>
      <w:r w:rsidRPr="005F4AB5">
        <w:t>Gloucester City Council</w:t>
      </w:r>
      <w:bookmarkStart w:id="7" w:name="_Toc210302550"/>
      <w:bookmarkStart w:id="8" w:name="_Toc210303200"/>
      <w:bookmarkStart w:id="9" w:name="_Toc210303288"/>
      <w:bookmarkEnd w:id="0"/>
      <w:bookmarkEnd w:id="1"/>
      <w:bookmarkEnd w:id="2"/>
      <w:bookmarkEnd w:id="5"/>
      <w:bookmarkEnd w:id="6"/>
    </w:p>
    <w:p w14:paraId="0FB753E6" w14:textId="65C407E0" w:rsidR="00860AD7" w:rsidRPr="005F4AB5" w:rsidRDefault="00F84277" w:rsidP="000D58DB">
      <w:pPr>
        <w:pStyle w:val="Heading1"/>
      </w:pPr>
      <w:bookmarkStart w:id="10" w:name="_Toc210307731"/>
      <w:bookmarkStart w:id="11" w:name="_Toc210308079"/>
      <w:r w:rsidRPr="005F4AB5">
        <w:t>F</w:t>
      </w:r>
      <w:r w:rsidR="00860AD7" w:rsidRPr="005F4AB5">
        <w:t>ive</w:t>
      </w:r>
      <w:r w:rsidR="00CB1933" w:rsidRPr="005F4AB5">
        <w:t>-</w:t>
      </w:r>
      <w:r w:rsidRPr="005F4AB5">
        <w:t>Y</w:t>
      </w:r>
      <w:r w:rsidR="00860AD7" w:rsidRPr="005F4AB5">
        <w:t xml:space="preserve">ear </w:t>
      </w:r>
      <w:r w:rsidRPr="005F4AB5">
        <w:t>H</w:t>
      </w:r>
      <w:r w:rsidR="00860AD7" w:rsidRPr="005F4AB5">
        <w:t xml:space="preserve">ousing </w:t>
      </w:r>
      <w:r w:rsidRPr="005F4AB5">
        <w:t>L</w:t>
      </w:r>
      <w:r w:rsidR="00860AD7" w:rsidRPr="005F4AB5">
        <w:t xml:space="preserve">and </w:t>
      </w:r>
      <w:r w:rsidRPr="005F4AB5">
        <w:t>S</w:t>
      </w:r>
      <w:r w:rsidR="00860AD7" w:rsidRPr="005F4AB5">
        <w:t xml:space="preserve">upply </w:t>
      </w:r>
      <w:r w:rsidRPr="005F4AB5">
        <w:t>S</w:t>
      </w:r>
      <w:r w:rsidR="00860AD7" w:rsidRPr="005F4AB5">
        <w:t xml:space="preserve">tatement as at 31 March </w:t>
      </w:r>
      <w:r w:rsidR="00ED3B13" w:rsidRPr="005F4AB5">
        <w:t>202</w:t>
      </w:r>
      <w:r w:rsidR="00062609" w:rsidRPr="005F4AB5">
        <w:t>5</w:t>
      </w:r>
      <w:bookmarkEnd w:id="3"/>
      <w:bookmarkEnd w:id="4"/>
      <w:bookmarkEnd w:id="7"/>
      <w:bookmarkEnd w:id="8"/>
      <w:bookmarkEnd w:id="9"/>
      <w:bookmarkEnd w:id="10"/>
      <w:bookmarkEnd w:id="11"/>
    </w:p>
    <w:p w14:paraId="1C7F58EC" w14:textId="5C831652" w:rsidR="00860AD7" w:rsidRPr="005F4AB5" w:rsidRDefault="00860AD7" w:rsidP="000D58DB">
      <w:pPr>
        <w:spacing w:line="879" w:lineRule="exact"/>
        <w:ind w:left="567"/>
        <w:rPr>
          <w:b/>
          <w:sz w:val="72"/>
        </w:rPr>
      </w:pPr>
    </w:p>
    <w:p w14:paraId="2BFC37A9" w14:textId="05F00924" w:rsidR="00860AD7" w:rsidRPr="005F4AB5" w:rsidRDefault="00860AD7" w:rsidP="000D58DB">
      <w:pPr>
        <w:spacing w:line="879" w:lineRule="exact"/>
        <w:ind w:left="567"/>
        <w:rPr>
          <w:b/>
          <w:sz w:val="72"/>
        </w:rPr>
      </w:pPr>
    </w:p>
    <w:p w14:paraId="649B6D23" w14:textId="39B6C75C" w:rsidR="00860AD7" w:rsidRPr="005F4AB5" w:rsidRDefault="00860AD7" w:rsidP="000D58DB">
      <w:pPr>
        <w:spacing w:line="879" w:lineRule="exact"/>
        <w:ind w:left="567"/>
        <w:rPr>
          <w:b/>
          <w:sz w:val="72"/>
        </w:rPr>
      </w:pPr>
    </w:p>
    <w:p w14:paraId="340AE0A0" w14:textId="2058298D" w:rsidR="00860AD7" w:rsidRPr="005F4AB5" w:rsidRDefault="00860AD7" w:rsidP="000D58DB">
      <w:pPr>
        <w:spacing w:line="879" w:lineRule="exact"/>
        <w:ind w:left="567"/>
        <w:rPr>
          <w:b/>
          <w:sz w:val="72"/>
        </w:rPr>
      </w:pPr>
    </w:p>
    <w:p w14:paraId="713ECE60" w14:textId="11803602" w:rsidR="00860AD7" w:rsidRPr="005F4AB5" w:rsidRDefault="00860AD7" w:rsidP="000D58DB">
      <w:pPr>
        <w:spacing w:line="879" w:lineRule="exact"/>
        <w:ind w:left="567"/>
        <w:rPr>
          <w:b/>
          <w:sz w:val="72"/>
        </w:rPr>
      </w:pPr>
    </w:p>
    <w:p w14:paraId="2B15F49C" w14:textId="0455D60C" w:rsidR="00860AD7" w:rsidRPr="005F4AB5" w:rsidRDefault="00860AD7" w:rsidP="000D58DB">
      <w:pPr>
        <w:spacing w:line="879" w:lineRule="exact"/>
        <w:ind w:left="567"/>
        <w:rPr>
          <w:b/>
          <w:sz w:val="72"/>
        </w:rPr>
      </w:pPr>
    </w:p>
    <w:p w14:paraId="6C0147E0" w14:textId="082F3B17" w:rsidR="00860AD7" w:rsidRPr="005F4AB5" w:rsidRDefault="00860AD7" w:rsidP="000D58DB">
      <w:pPr>
        <w:spacing w:line="879" w:lineRule="exact"/>
        <w:ind w:left="567"/>
        <w:rPr>
          <w:b/>
          <w:sz w:val="72"/>
        </w:rPr>
      </w:pPr>
    </w:p>
    <w:p w14:paraId="08236FF3" w14:textId="77777777" w:rsidR="00135B66" w:rsidRPr="005F4AB5" w:rsidRDefault="00135B66" w:rsidP="000D58DB">
      <w:pPr>
        <w:spacing w:line="879" w:lineRule="exact"/>
        <w:ind w:left="567"/>
        <w:rPr>
          <w:b/>
          <w:sz w:val="72"/>
        </w:rPr>
      </w:pPr>
    </w:p>
    <w:p w14:paraId="251A0205" w14:textId="77777777" w:rsidR="00135B66" w:rsidRPr="005F4AB5" w:rsidRDefault="00135B66" w:rsidP="000D58DB">
      <w:pPr>
        <w:spacing w:line="879" w:lineRule="exact"/>
        <w:ind w:left="567"/>
        <w:rPr>
          <w:b/>
          <w:sz w:val="72"/>
        </w:rPr>
      </w:pPr>
    </w:p>
    <w:p w14:paraId="3D80FE9A" w14:textId="26D3B70B" w:rsidR="001C6E79" w:rsidRPr="005F4AB5" w:rsidRDefault="00860AD7" w:rsidP="00135B66">
      <w:pPr>
        <w:pStyle w:val="BodyText"/>
        <w:rPr>
          <w:sz w:val="28"/>
          <w:szCs w:val="28"/>
        </w:rPr>
        <w:sectPr w:rsidR="001C6E79" w:rsidRPr="005F4AB5">
          <w:type w:val="continuous"/>
          <w:pgSz w:w="11910" w:h="16840"/>
          <w:pgMar w:top="1580" w:right="1120" w:bottom="280" w:left="1120" w:header="720" w:footer="720" w:gutter="0"/>
          <w:cols w:space="720"/>
        </w:sectPr>
      </w:pPr>
      <w:r w:rsidRPr="005F4AB5">
        <w:rPr>
          <w:sz w:val="28"/>
        </w:rPr>
        <w:t>Published</w:t>
      </w:r>
      <w:r w:rsidR="00135B66" w:rsidRPr="005F4AB5">
        <w:rPr>
          <w:sz w:val="28"/>
        </w:rPr>
        <w:t xml:space="preserve">: </w:t>
      </w:r>
      <w:r w:rsidR="00135B66" w:rsidRPr="005F4AB5">
        <w:rPr>
          <w:sz w:val="28"/>
          <w:szCs w:val="28"/>
        </w:rPr>
        <w:t>3</w:t>
      </w:r>
      <w:r w:rsidR="00135B66" w:rsidRPr="005F4AB5">
        <w:rPr>
          <w:sz w:val="28"/>
          <w:szCs w:val="28"/>
          <w:vertAlign w:val="superscript"/>
        </w:rPr>
        <w:t>rd</w:t>
      </w:r>
      <w:r w:rsidR="00135B66" w:rsidRPr="005F4AB5">
        <w:rPr>
          <w:sz w:val="28"/>
          <w:szCs w:val="28"/>
        </w:rPr>
        <w:t xml:space="preserve"> </w:t>
      </w:r>
      <w:r w:rsidR="0063744A" w:rsidRPr="005F4AB5">
        <w:rPr>
          <w:sz w:val="28"/>
          <w:szCs w:val="28"/>
        </w:rPr>
        <w:t>October 2025</w:t>
      </w:r>
    </w:p>
    <w:sdt>
      <w:sdtPr>
        <w:rPr>
          <w:rFonts w:ascii="Calibri" w:eastAsia="Calibri" w:hAnsi="Calibri" w:cs="Calibri"/>
          <w:bCs w:val="0"/>
          <w:color w:val="auto"/>
          <w:sz w:val="24"/>
          <w:szCs w:val="22"/>
        </w:rPr>
        <w:id w:val="-456494613"/>
        <w:docPartObj>
          <w:docPartGallery w:val="Table of Contents"/>
          <w:docPartUnique/>
        </w:docPartObj>
      </w:sdtPr>
      <w:sdtEndPr>
        <w:rPr>
          <w:b/>
          <w:noProof/>
        </w:rPr>
      </w:sdtEndPr>
      <w:sdtContent>
        <w:p w14:paraId="1315066E" w14:textId="71AC19C4" w:rsidR="00A3117F" w:rsidRPr="005F4AB5" w:rsidRDefault="00A3117F">
          <w:pPr>
            <w:pStyle w:val="TOCHeading"/>
          </w:pPr>
          <w:r w:rsidRPr="005F4AB5">
            <w:t>Contents</w:t>
          </w:r>
        </w:p>
        <w:p w14:paraId="0CA385E7" w14:textId="603A2D9F" w:rsidR="00B42291" w:rsidRPr="005F4AB5" w:rsidRDefault="00A3117F">
          <w:pPr>
            <w:pStyle w:val="TOC1"/>
            <w:tabs>
              <w:tab w:val="right" w:leader="dot" w:pos="9660"/>
            </w:tabs>
            <w:rPr>
              <w:rFonts w:asciiTheme="minorHAnsi" w:eastAsiaTheme="minorEastAsia" w:hAnsiTheme="minorHAnsi" w:cstheme="minorBidi"/>
              <w:noProof/>
              <w:kern w:val="2"/>
              <w:szCs w:val="24"/>
              <w:lang w:val="en-GB" w:eastAsia="en-GB"/>
              <w14:ligatures w14:val="standardContextual"/>
            </w:rPr>
          </w:pPr>
          <w:r w:rsidRPr="005F4AB5">
            <w:fldChar w:fldCharType="begin"/>
          </w:r>
          <w:r w:rsidRPr="005F4AB5">
            <w:instrText xml:space="preserve"> TOC \o "1-3" \h \z \u </w:instrText>
          </w:r>
          <w:r w:rsidRPr="005F4AB5">
            <w:fldChar w:fldCharType="separate"/>
          </w:r>
        </w:p>
        <w:p w14:paraId="6020A2CC" w14:textId="45B68EA5" w:rsidR="00B42291" w:rsidRPr="005F4AB5" w:rsidRDefault="00B42291">
          <w:pPr>
            <w:pStyle w:val="TOC2"/>
            <w:tabs>
              <w:tab w:val="left" w:pos="1200"/>
              <w:tab w:val="right" w:leader="dot" w:pos="9660"/>
            </w:tabs>
            <w:rPr>
              <w:rFonts w:asciiTheme="minorHAnsi" w:eastAsiaTheme="minorEastAsia" w:hAnsiTheme="minorHAnsi" w:cstheme="minorBidi"/>
              <w:noProof/>
              <w:kern w:val="2"/>
              <w:szCs w:val="24"/>
              <w:lang w:val="en-GB" w:eastAsia="en-GB"/>
              <w14:ligatures w14:val="standardContextual"/>
            </w:rPr>
          </w:pPr>
          <w:hyperlink w:anchor="_Toc210308080" w:history="1">
            <w:r w:rsidRPr="005F4AB5">
              <w:rPr>
                <w:rStyle w:val="Hyperlink"/>
                <w:noProof/>
              </w:rPr>
              <w:t>1.</w:t>
            </w:r>
            <w:r w:rsidRPr="005F4AB5">
              <w:rPr>
                <w:rFonts w:asciiTheme="minorHAnsi" w:eastAsiaTheme="minorEastAsia" w:hAnsiTheme="minorHAnsi" w:cstheme="minorBidi"/>
                <w:noProof/>
                <w:kern w:val="2"/>
                <w:szCs w:val="24"/>
                <w:lang w:val="en-GB" w:eastAsia="en-GB"/>
                <w14:ligatures w14:val="standardContextual"/>
              </w:rPr>
              <w:tab/>
            </w:r>
            <w:r w:rsidRPr="005F4AB5">
              <w:rPr>
                <w:rStyle w:val="Hyperlink"/>
                <w:noProof/>
              </w:rPr>
              <w:t>Introduction</w:t>
            </w:r>
            <w:r w:rsidRPr="005F4AB5">
              <w:rPr>
                <w:noProof/>
                <w:webHidden/>
              </w:rPr>
              <w:tab/>
            </w:r>
            <w:r w:rsidRPr="005F4AB5">
              <w:rPr>
                <w:noProof/>
                <w:webHidden/>
              </w:rPr>
              <w:fldChar w:fldCharType="begin"/>
            </w:r>
            <w:r w:rsidRPr="005F4AB5">
              <w:rPr>
                <w:noProof/>
                <w:webHidden/>
              </w:rPr>
              <w:instrText xml:space="preserve"> PAGEREF _Toc210308080 \h </w:instrText>
            </w:r>
            <w:r w:rsidRPr="005F4AB5">
              <w:rPr>
                <w:noProof/>
                <w:webHidden/>
              </w:rPr>
            </w:r>
            <w:r w:rsidRPr="005F4AB5">
              <w:rPr>
                <w:noProof/>
                <w:webHidden/>
              </w:rPr>
              <w:fldChar w:fldCharType="separate"/>
            </w:r>
            <w:r w:rsidR="007E6E90">
              <w:rPr>
                <w:noProof/>
                <w:webHidden/>
              </w:rPr>
              <w:t>3</w:t>
            </w:r>
            <w:r w:rsidRPr="005F4AB5">
              <w:rPr>
                <w:noProof/>
                <w:webHidden/>
              </w:rPr>
              <w:fldChar w:fldCharType="end"/>
            </w:r>
          </w:hyperlink>
        </w:p>
        <w:p w14:paraId="5F124473" w14:textId="29E92E8E" w:rsidR="00B42291" w:rsidRPr="005F4AB5" w:rsidRDefault="00B42291">
          <w:pPr>
            <w:pStyle w:val="TOC2"/>
            <w:tabs>
              <w:tab w:val="left" w:pos="1200"/>
              <w:tab w:val="right" w:leader="dot" w:pos="9660"/>
            </w:tabs>
            <w:rPr>
              <w:rFonts w:asciiTheme="minorHAnsi" w:eastAsiaTheme="minorEastAsia" w:hAnsiTheme="minorHAnsi" w:cstheme="minorBidi"/>
              <w:noProof/>
              <w:kern w:val="2"/>
              <w:szCs w:val="24"/>
              <w:lang w:val="en-GB" w:eastAsia="en-GB"/>
              <w14:ligatures w14:val="standardContextual"/>
            </w:rPr>
          </w:pPr>
          <w:hyperlink w:anchor="_Toc210308081" w:history="1">
            <w:r w:rsidRPr="005F4AB5">
              <w:rPr>
                <w:rStyle w:val="Hyperlink"/>
                <w:noProof/>
              </w:rPr>
              <w:t>2.</w:t>
            </w:r>
            <w:r w:rsidRPr="005F4AB5">
              <w:rPr>
                <w:rFonts w:asciiTheme="minorHAnsi" w:eastAsiaTheme="minorEastAsia" w:hAnsiTheme="minorHAnsi" w:cstheme="minorBidi"/>
                <w:noProof/>
                <w:kern w:val="2"/>
                <w:szCs w:val="24"/>
                <w:lang w:val="en-GB" w:eastAsia="en-GB"/>
                <w14:ligatures w14:val="standardContextual"/>
              </w:rPr>
              <w:tab/>
            </w:r>
            <w:r w:rsidRPr="005F4AB5">
              <w:rPr>
                <w:rStyle w:val="Hyperlink"/>
                <w:noProof/>
              </w:rPr>
              <w:t>Gloucester, Cheltenham, and Tewkesbury Joint Core Strategy (JCS)</w:t>
            </w:r>
            <w:r w:rsidRPr="005F4AB5">
              <w:rPr>
                <w:noProof/>
                <w:webHidden/>
              </w:rPr>
              <w:tab/>
            </w:r>
            <w:r w:rsidRPr="005F4AB5">
              <w:rPr>
                <w:noProof/>
                <w:webHidden/>
              </w:rPr>
              <w:fldChar w:fldCharType="begin"/>
            </w:r>
            <w:r w:rsidRPr="005F4AB5">
              <w:rPr>
                <w:noProof/>
                <w:webHidden/>
              </w:rPr>
              <w:instrText xml:space="preserve"> PAGEREF _Toc210308081 \h </w:instrText>
            </w:r>
            <w:r w:rsidRPr="005F4AB5">
              <w:rPr>
                <w:noProof/>
                <w:webHidden/>
              </w:rPr>
            </w:r>
            <w:r w:rsidRPr="005F4AB5">
              <w:rPr>
                <w:noProof/>
                <w:webHidden/>
              </w:rPr>
              <w:fldChar w:fldCharType="separate"/>
            </w:r>
            <w:r w:rsidR="007E6E90">
              <w:rPr>
                <w:noProof/>
                <w:webHidden/>
              </w:rPr>
              <w:t>3</w:t>
            </w:r>
            <w:r w:rsidRPr="005F4AB5">
              <w:rPr>
                <w:noProof/>
                <w:webHidden/>
              </w:rPr>
              <w:fldChar w:fldCharType="end"/>
            </w:r>
          </w:hyperlink>
        </w:p>
        <w:p w14:paraId="5AD8CF89" w14:textId="633C5EF5" w:rsidR="00B42291" w:rsidRPr="005F4AB5" w:rsidRDefault="00B42291">
          <w:pPr>
            <w:pStyle w:val="TOC2"/>
            <w:tabs>
              <w:tab w:val="left" w:pos="1200"/>
              <w:tab w:val="right" w:leader="dot" w:pos="9660"/>
            </w:tabs>
            <w:rPr>
              <w:rFonts w:asciiTheme="minorHAnsi" w:eastAsiaTheme="minorEastAsia" w:hAnsiTheme="minorHAnsi" w:cstheme="minorBidi"/>
              <w:noProof/>
              <w:kern w:val="2"/>
              <w:szCs w:val="24"/>
              <w:lang w:val="en-GB" w:eastAsia="en-GB"/>
              <w14:ligatures w14:val="standardContextual"/>
            </w:rPr>
          </w:pPr>
          <w:hyperlink w:anchor="_Toc210308082" w:history="1">
            <w:r w:rsidRPr="005F4AB5">
              <w:rPr>
                <w:rStyle w:val="Hyperlink"/>
                <w:noProof/>
              </w:rPr>
              <w:t>3.</w:t>
            </w:r>
            <w:r w:rsidRPr="005F4AB5">
              <w:rPr>
                <w:rFonts w:asciiTheme="minorHAnsi" w:eastAsiaTheme="minorEastAsia" w:hAnsiTheme="minorHAnsi" w:cstheme="minorBidi"/>
                <w:noProof/>
                <w:kern w:val="2"/>
                <w:szCs w:val="24"/>
                <w:lang w:val="en-GB" w:eastAsia="en-GB"/>
                <w14:ligatures w14:val="standardContextual"/>
              </w:rPr>
              <w:tab/>
            </w:r>
            <w:r w:rsidRPr="005F4AB5">
              <w:rPr>
                <w:rStyle w:val="Hyperlink"/>
                <w:noProof/>
              </w:rPr>
              <w:t>The Standard Method</w:t>
            </w:r>
            <w:r w:rsidRPr="005F4AB5">
              <w:rPr>
                <w:noProof/>
                <w:webHidden/>
              </w:rPr>
              <w:tab/>
            </w:r>
            <w:r w:rsidRPr="005F4AB5">
              <w:rPr>
                <w:noProof/>
                <w:webHidden/>
              </w:rPr>
              <w:fldChar w:fldCharType="begin"/>
            </w:r>
            <w:r w:rsidRPr="005F4AB5">
              <w:rPr>
                <w:noProof/>
                <w:webHidden/>
              </w:rPr>
              <w:instrText xml:space="preserve"> PAGEREF _Toc210308082 \h </w:instrText>
            </w:r>
            <w:r w:rsidRPr="005F4AB5">
              <w:rPr>
                <w:noProof/>
                <w:webHidden/>
              </w:rPr>
            </w:r>
            <w:r w:rsidRPr="005F4AB5">
              <w:rPr>
                <w:noProof/>
                <w:webHidden/>
              </w:rPr>
              <w:fldChar w:fldCharType="separate"/>
            </w:r>
            <w:r w:rsidR="007E6E90">
              <w:rPr>
                <w:noProof/>
                <w:webHidden/>
              </w:rPr>
              <w:t>4</w:t>
            </w:r>
            <w:r w:rsidRPr="005F4AB5">
              <w:rPr>
                <w:noProof/>
                <w:webHidden/>
              </w:rPr>
              <w:fldChar w:fldCharType="end"/>
            </w:r>
          </w:hyperlink>
        </w:p>
        <w:p w14:paraId="4A9E99DA" w14:textId="52C59FC6" w:rsidR="00B42291" w:rsidRPr="005F4AB5" w:rsidRDefault="00B42291">
          <w:pPr>
            <w:pStyle w:val="TOC2"/>
            <w:tabs>
              <w:tab w:val="left" w:pos="1200"/>
              <w:tab w:val="right" w:leader="dot" w:pos="9660"/>
            </w:tabs>
            <w:rPr>
              <w:rFonts w:asciiTheme="minorHAnsi" w:eastAsiaTheme="minorEastAsia" w:hAnsiTheme="minorHAnsi" w:cstheme="minorBidi"/>
              <w:noProof/>
              <w:kern w:val="2"/>
              <w:szCs w:val="24"/>
              <w:lang w:val="en-GB" w:eastAsia="en-GB"/>
              <w14:ligatures w14:val="standardContextual"/>
            </w:rPr>
          </w:pPr>
          <w:hyperlink w:anchor="_Toc210308083" w:history="1">
            <w:r w:rsidRPr="005F4AB5">
              <w:rPr>
                <w:rStyle w:val="Hyperlink"/>
                <w:noProof/>
              </w:rPr>
              <w:t>4.</w:t>
            </w:r>
            <w:r w:rsidRPr="005F4AB5">
              <w:rPr>
                <w:rFonts w:asciiTheme="minorHAnsi" w:eastAsiaTheme="minorEastAsia" w:hAnsiTheme="minorHAnsi" w:cstheme="minorBidi"/>
                <w:noProof/>
                <w:kern w:val="2"/>
                <w:szCs w:val="24"/>
                <w:lang w:val="en-GB" w:eastAsia="en-GB"/>
                <w14:ligatures w14:val="standardContextual"/>
              </w:rPr>
              <w:tab/>
            </w:r>
            <w:r w:rsidRPr="005F4AB5">
              <w:rPr>
                <w:rStyle w:val="Hyperlink"/>
                <w:noProof/>
              </w:rPr>
              <w:t>Previous delivery</w:t>
            </w:r>
            <w:r w:rsidRPr="005F4AB5">
              <w:rPr>
                <w:noProof/>
                <w:webHidden/>
              </w:rPr>
              <w:tab/>
            </w:r>
            <w:r w:rsidRPr="005F4AB5">
              <w:rPr>
                <w:noProof/>
                <w:webHidden/>
              </w:rPr>
              <w:fldChar w:fldCharType="begin"/>
            </w:r>
            <w:r w:rsidRPr="005F4AB5">
              <w:rPr>
                <w:noProof/>
                <w:webHidden/>
              </w:rPr>
              <w:instrText xml:space="preserve"> PAGEREF _Toc210308083 \h </w:instrText>
            </w:r>
            <w:r w:rsidRPr="005F4AB5">
              <w:rPr>
                <w:noProof/>
                <w:webHidden/>
              </w:rPr>
            </w:r>
            <w:r w:rsidRPr="005F4AB5">
              <w:rPr>
                <w:noProof/>
                <w:webHidden/>
              </w:rPr>
              <w:fldChar w:fldCharType="separate"/>
            </w:r>
            <w:r w:rsidR="007E6E90">
              <w:rPr>
                <w:noProof/>
                <w:webHidden/>
              </w:rPr>
              <w:t>4</w:t>
            </w:r>
            <w:r w:rsidRPr="005F4AB5">
              <w:rPr>
                <w:noProof/>
                <w:webHidden/>
              </w:rPr>
              <w:fldChar w:fldCharType="end"/>
            </w:r>
          </w:hyperlink>
        </w:p>
        <w:p w14:paraId="41812D4B" w14:textId="4F3D8FD9" w:rsidR="00B42291" w:rsidRPr="005F4AB5" w:rsidRDefault="00B42291">
          <w:pPr>
            <w:pStyle w:val="TOC2"/>
            <w:tabs>
              <w:tab w:val="left" w:pos="1200"/>
              <w:tab w:val="right" w:leader="dot" w:pos="9660"/>
            </w:tabs>
            <w:rPr>
              <w:rFonts w:asciiTheme="minorHAnsi" w:eastAsiaTheme="minorEastAsia" w:hAnsiTheme="minorHAnsi" w:cstheme="minorBidi"/>
              <w:noProof/>
              <w:kern w:val="2"/>
              <w:szCs w:val="24"/>
              <w:lang w:val="en-GB" w:eastAsia="en-GB"/>
              <w14:ligatures w14:val="standardContextual"/>
            </w:rPr>
          </w:pPr>
          <w:hyperlink w:anchor="_Toc210308084" w:history="1">
            <w:r w:rsidRPr="005F4AB5">
              <w:rPr>
                <w:rStyle w:val="Hyperlink"/>
                <w:noProof/>
              </w:rPr>
              <w:t>5.</w:t>
            </w:r>
            <w:r w:rsidRPr="005F4AB5">
              <w:rPr>
                <w:rFonts w:asciiTheme="minorHAnsi" w:eastAsiaTheme="minorEastAsia" w:hAnsiTheme="minorHAnsi" w:cstheme="minorBidi"/>
                <w:noProof/>
                <w:kern w:val="2"/>
                <w:szCs w:val="24"/>
                <w:lang w:val="en-GB" w:eastAsia="en-GB"/>
                <w14:ligatures w14:val="standardContextual"/>
              </w:rPr>
              <w:tab/>
            </w:r>
            <w:r w:rsidRPr="005F4AB5">
              <w:rPr>
                <w:rStyle w:val="Hyperlink"/>
                <w:noProof/>
              </w:rPr>
              <w:t>Five-year housing land requirement with NPPF buffers</w:t>
            </w:r>
            <w:r w:rsidRPr="005F4AB5">
              <w:rPr>
                <w:noProof/>
                <w:webHidden/>
              </w:rPr>
              <w:tab/>
            </w:r>
            <w:r w:rsidR="00F1654A">
              <w:rPr>
                <w:noProof/>
                <w:webHidden/>
              </w:rPr>
              <w:t>6</w:t>
            </w:r>
          </w:hyperlink>
        </w:p>
        <w:p w14:paraId="13B35BB5" w14:textId="12ABEE95" w:rsidR="00B42291" w:rsidRPr="005F4AB5" w:rsidRDefault="00B42291">
          <w:pPr>
            <w:pStyle w:val="TOC2"/>
            <w:tabs>
              <w:tab w:val="left" w:pos="1200"/>
              <w:tab w:val="right" w:leader="dot" w:pos="9660"/>
            </w:tabs>
            <w:rPr>
              <w:rFonts w:asciiTheme="minorHAnsi" w:eastAsiaTheme="minorEastAsia" w:hAnsiTheme="minorHAnsi" w:cstheme="minorBidi"/>
              <w:noProof/>
              <w:kern w:val="2"/>
              <w:szCs w:val="24"/>
              <w:lang w:val="en-GB" w:eastAsia="en-GB"/>
              <w14:ligatures w14:val="standardContextual"/>
            </w:rPr>
          </w:pPr>
          <w:hyperlink w:anchor="_Toc210308085" w:history="1">
            <w:r w:rsidRPr="005F4AB5">
              <w:rPr>
                <w:rStyle w:val="Hyperlink"/>
                <w:noProof/>
              </w:rPr>
              <w:t>6.</w:t>
            </w:r>
            <w:r w:rsidRPr="005F4AB5">
              <w:rPr>
                <w:rFonts w:asciiTheme="minorHAnsi" w:eastAsiaTheme="minorEastAsia" w:hAnsiTheme="minorHAnsi" w:cstheme="minorBidi"/>
                <w:noProof/>
                <w:kern w:val="2"/>
                <w:szCs w:val="24"/>
                <w:lang w:val="en-GB" w:eastAsia="en-GB"/>
                <w14:ligatures w14:val="standardContextual"/>
              </w:rPr>
              <w:tab/>
            </w:r>
            <w:r w:rsidRPr="005F4AB5">
              <w:rPr>
                <w:rStyle w:val="Hyperlink"/>
                <w:noProof/>
              </w:rPr>
              <w:t>Housing supply and delivery</w:t>
            </w:r>
            <w:r w:rsidRPr="005F4AB5">
              <w:rPr>
                <w:noProof/>
                <w:webHidden/>
              </w:rPr>
              <w:tab/>
            </w:r>
            <w:r w:rsidR="00F1654A">
              <w:rPr>
                <w:noProof/>
                <w:webHidden/>
              </w:rPr>
              <w:t>7</w:t>
            </w:r>
          </w:hyperlink>
        </w:p>
        <w:p w14:paraId="62D1F0D7" w14:textId="565315AF" w:rsidR="00B42291" w:rsidRPr="005F4AB5" w:rsidRDefault="00B42291">
          <w:pPr>
            <w:pStyle w:val="TOC2"/>
            <w:tabs>
              <w:tab w:val="left" w:pos="1200"/>
              <w:tab w:val="right" w:leader="dot" w:pos="9660"/>
            </w:tabs>
            <w:rPr>
              <w:rFonts w:asciiTheme="minorHAnsi" w:eastAsiaTheme="minorEastAsia" w:hAnsiTheme="minorHAnsi" w:cstheme="minorBidi"/>
              <w:noProof/>
              <w:kern w:val="2"/>
              <w:szCs w:val="24"/>
              <w:lang w:val="en-GB" w:eastAsia="en-GB"/>
              <w14:ligatures w14:val="standardContextual"/>
            </w:rPr>
          </w:pPr>
          <w:hyperlink w:anchor="_Toc210308086" w:history="1">
            <w:r w:rsidRPr="005F4AB5">
              <w:rPr>
                <w:rStyle w:val="Hyperlink"/>
                <w:noProof/>
              </w:rPr>
              <w:t>7.</w:t>
            </w:r>
            <w:r w:rsidRPr="005F4AB5">
              <w:rPr>
                <w:rFonts w:asciiTheme="minorHAnsi" w:eastAsiaTheme="minorEastAsia" w:hAnsiTheme="minorHAnsi" w:cstheme="minorBidi"/>
                <w:noProof/>
                <w:kern w:val="2"/>
                <w:szCs w:val="24"/>
                <w:lang w:val="en-GB" w:eastAsia="en-GB"/>
                <w14:ligatures w14:val="standardContextual"/>
              </w:rPr>
              <w:tab/>
            </w:r>
            <w:r w:rsidRPr="005F4AB5">
              <w:rPr>
                <w:rStyle w:val="Hyperlink"/>
                <w:noProof/>
              </w:rPr>
              <w:t>Supply of housing land</w:t>
            </w:r>
            <w:r w:rsidRPr="005F4AB5">
              <w:rPr>
                <w:noProof/>
                <w:webHidden/>
              </w:rPr>
              <w:tab/>
            </w:r>
            <w:r w:rsidR="00F1654A">
              <w:rPr>
                <w:noProof/>
                <w:webHidden/>
              </w:rPr>
              <w:t>8</w:t>
            </w:r>
          </w:hyperlink>
        </w:p>
        <w:p w14:paraId="2B1149E3" w14:textId="0DD198B3" w:rsidR="00B42291" w:rsidRPr="005F4AB5" w:rsidRDefault="00B42291">
          <w:pPr>
            <w:pStyle w:val="TOC3"/>
            <w:tabs>
              <w:tab w:val="right" w:leader="dot" w:pos="9660"/>
            </w:tabs>
            <w:rPr>
              <w:rFonts w:asciiTheme="minorHAnsi" w:eastAsiaTheme="minorEastAsia" w:hAnsiTheme="minorHAnsi" w:cstheme="minorBidi"/>
              <w:noProof/>
              <w:kern w:val="2"/>
              <w:szCs w:val="24"/>
              <w:lang w:val="en-GB" w:eastAsia="en-GB"/>
              <w14:ligatures w14:val="standardContextual"/>
            </w:rPr>
          </w:pPr>
          <w:hyperlink w:anchor="_Toc210308087" w:history="1">
            <w:r w:rsidRPr="005F4AB5">
              <w:rPr>
                <w:rStyle w:val="Hyperlink"/>
                <w:noProof/>
              </w:rPr>
              <w:t>A – Major Sites for 10+ net dwellings with detailed planning permission</w:t>
            </w:r>
            <w:r w:rsidRPr="005F4AB5">
              <w:rPr>
                <w:noProof/>
                <w:webHidden/>
              </w:rPr>
              <w:tab/>
            </w:r>
            <w:r w:rsidR="00F1654A">
              <w:rPr>
                <w:noProof/>
                <w:webHidden/>
              </w:rPr>
              <w:t>8</w:t>
            </w:r>
          </w:hyperlink>
        </w:p>
        <w:p w14:paraId="514C64E0" w14:textId="578F50DC" w:rsidR="00B42291" w:rsidRPr="005F4AB5" w:rsidRDefault="00B42291">
          <w:pPr>
            <w:pStyle w:val="TOC3"/>
            <w:tabs>
              <w:tab w:val="right" w:leader="dot" w:pos="9660"/>
            </w:tabs>
            <w:rPr>
              <w:rFonts w:asciiTheme="minorHAnsi" w:eastAsiaTheme="minorEastAsia" w:hAnsiTheme="minorHAnsi" w:cstheme="minorBidi"/>
              <w:noProof/>
              <w:kern w:val="2"/>
              <w:szCs w:val="24"/>
              <w:lang w:val="en-GB" w:eastAsia="en-GB"/>
              <w14:ligatures w14:val="standardContextual"/>
            </w:rPr>
          </w:pPr>
          <w:hyperlink w:anchor="_Toc210308088" w:history="1">
            <w:r w:rsidRPr="005F4AB5">
              <w:rPr>
                <w:rStyle w:val="Hyperlink"/>
                <w:noProof/>
              </w:rPr>
              <w:t>B – Medium sites (5-9 net dwellings) with outline or detailed planning permission</w:t>
            </w:r>
            <w:r w:rsidRPr="005F4AB5">
              <w:rPr>
                <w:noProof/>
                <w:webHidden/>
              </w:rPr>
              <w:tab/>
            </w:r>
            <w:r w:rsidR="00F1654A">
              <w:rPr>
                <w:noProof/>
                <w:webHidden/>
              </w:rPr>
              <w:t>8</w:t>
            </w:r>
          </w:hyperlink>
        </w:p>
        <w:p w14:paraId="7AC6D64A" w14:textId="056AC784" w:rsidR="00B42291" w:rsidRPr="005F4AB5" w:rsidRDefault="00B42291">
          <w:pPr>
            <w:pStyle w:val="TOC3"/>
            <w:tabs>
              <w:tab w:val="right" w:leader="dot" w:pos="9660"/>
            </w:tabs>
            <w:rPr>
              <w:rFonts w:asciiTheme="minorHAnsi" w:eastAsiaTheme="minorEastAsia" w:hAnsiTheme="minorHAnsi" w:cstheme="minorBidi"/>
              <w:noProof/>
              <w:kern w:val="2"/>
              <w:szCs w:val="24"/>
              <w:lang w:val="en-GB" w:eastAsia="en-GB"/>
              <w14:ligatures w14:val="standardContextual"/>
            </w:rPr>
          </w:pPr>
          <w:hyperlink w:anchor="_Toc210308089" w:history="1">
            <w:r w:rsidRPr="005F4AB5">
              <w:rPr>
                <w:rStyle w:val="Hyperlink"/>
                <w:noProof/>
              </w:rPr>
              <w:t>C – Major sites for 10+ net dwellings with outline planning permission</w:t>
            </w:r>
            <w:r w:rsidRPr="005F4AB5">
              <w:rPr>
                <w:noProof/>
                <w:webHidden/>
              </w:rPr>
              <w:tab/>
            </w:r>
            <w:r w:rsidR="00F1654A">
              <w:rPr>
                <w:noProof/>
                <w:webHidden/>
              </w:rPr>
              <w:t>9</w:t>
            </w:r>
          </w:hyperlink>
        </w:p>
        <w:p w14:paraId="3917CAD2" w14:textId="56DBFC68" w:rsidR="00B42291" w:rsidRPr="005F4AB5" w:rsidRDefault="00B42291">
          <w:pPr>
            <w:pStyle w:val="TOC3"/>
            <w:tabs>
              <w:tab w:val="right" w:leader="dot" w:pos="9660"/>
            </w:tabs>
            <w:rPr>
              <w:rFonts w:asciiTheme="minorHAnsi" w:eastAsiaTheme="minorEastAsia" w:hAnsiTheme="minorHAnsi" w:cstheme="minorBidi"/>
              <w:noProof/>
              <w:kern w:val="2"/>
              <w:szCs w:val="24"/>
              <w:lang w:val="en-GB" w:eastAsia="en-GB"/>
              <w14:ligatures w14:val="standardContextual"/>
            </w:rPr>
          </w:pPr>
          <w:hyperlink w:anchor="_Toc210308090" w:history="1">
            <w:r w:rsidRPr="005F4AB5">
              <w:rPr>
                <w:rStyle w:val="Hyperlink"/>
                <w:noProof/>
              </w:rPr>
              <w:t>D – Smaller sites (1-4 net dwellings) with outline or detailed planning permission</w:t>
            </w:r>
            <w:r w:rsidRPr="005F4AB5">
              <w:rPr>
                <w:noProof/>
                <w:webHidden/>
              </w:rPr>
              <w:tab/>
            </w:r>
            <w:r w:rsidR="00F1654A">
              <w:rPr>
                <w:noProof/>
                <w:webHidden/>
              </w:rPr>
              <w:t>9</w:t>
            </w:r>
          </w:hyperlink>
        </w:p>
        <w:p w14:paraId="60CCB088" w14:textId="505B2A88" w:rsidR="00B42291" w:rsidRPr="005F4AB5" w:rsidRDefault="00B42291">
          <w:pPr>
            <w:pStyle w:val="TOC3"/>
            <w:tabs>
              <w:tab w:val="right" w:leader="dot" w:pos="9660"/>
            </w:tabs>
            <w:rPr>
              <w:rFonts w:asciiTheme="minorHAnsi" w:eastAsiaTheme="minorEastAsia" w:hAnsiTheme="minorHAnsi" w:cstheme="minorBidi"/>
              <w:noProof/>
              <w:kern w:val="2"/>
              <w:szCs w:val="24"/>
              <w:lang w:val="en-GB" w:eastAsia="en-GB"/>
              <w14:ligatures w14:val="standardContextual"/>
            </w:rPr>
          </w:pPr>
          <w:hyperlink w:anchor="_Toc210308091" w:history="1">
            <w:r w:rsidRPr="005F4AB5">
              <w:rPr>
                <w:rStyle w:val="Hyperlink"/>
                <w:noProof/>
              </w:rPr>
              <w:t>E – Windfall allowance (1-4 net dwellings)</w:t>
            </w:r>
            <w:r w:rsidRPr="005F4AB5">
              <w:rPr>
                <w:noProof/>
                <w:webHidden/>
              </w:rPr>
              <w:tab/>
            </w:r>
            <w:r w:rsidR="00F1654A">
              <w:rPr>
                <w:noProof/>
                <w:webHidden/>
              </w:rPr>
              <w:t>9</w:t>
            </w:r>
          </w:hyperlink>
        </w:p>
        <w:p w14:paraId="279D2DDF" w14:textId="218EDF67" w:rsidR="00B42291" w:rsidRPr="005F4AB5" w:rsidRDefault="00B42291">
          <w:pPr>
            <w:pStyle w:val="TOC3"/>
            <w:tabs>
              <w:tab w:val="right" w:leader="dot" w:pos="9660"/>
            </w:tabs>
            <w:rPr>
              <w:rFonts w:asciiTheme="minorHAnsi" w:eastAsiaTheme="minorEastAsia" w:hAnsiTheme="minorHAnsi" w:cstheme="minorBidi"/>
              <w:noProof/>
              <w:kern w:val="2"/>
              <w:szCs w:val="24"/>
              <w:lang w:val="en-GB" w:eastAsia="en-GB"/>
              <w14:ligatures w14:val="standardContextual"/>
            </w:rPr>
          </w:pPr>
          <w:hyperlink w:anchor="_Toc210308092" w:history="1">
            <w:r w:rsidRPr="005F4AB5">
              <w:rPr>
                <w:rStyle w:val="Hyperlink"/>
                <w:noProof/>
              </w:rPr>
              <w:t>F – Gloucester City Plan Allocations</w:t>
            </w:r>
            <w:r w:rsidRPr="005F4AB5">
              <w:rPr>
                <w:noProof/>
                <w:webHidden/>
              </w:rPr>
              <w:tab/>
            </w:r>
            <w:r w:rsidR="00F1654A">
              <w:rPr>
                <w:noProof/>
                <w:webHidden/>
              </w:rPr>
              <w:t>9</w:t>
            </w:r>
          </w:hyperlink>
        </w:p>
        <w:p w14:paraId="53F57D08" w14:textId="5B6258E4" w:rsidR="00B42291" w:rsidRPr="005F4AB5" w:rsidRDefault="00B42291">
          <w:pPr>
            <w:pStyle w:val="TOC3"/>
            <w:tabs>
              <w:tab w:val="right" w:leader="dot" w:pos="9660"/>
            </w:tabs>
            <w:rPr>
              <w:rFonts w:asciiTheme="minorHAnsi" w:eastAsiaTheme="minorEastAsia" w:hAnsiTheme="minorHAnsi" w:cstheme="minorBidi"/>
              <w:noProof/>
              <w:kern w:val="2"/>
              <w:szCs w:val="24"/>
              <w:lang w:val="en-GB" w:eastAsia="en-GB"/>
              <w14:ligatures w14:val="standardContextual"/>
            </w:rPr>
          </w:pPr>
          <w:hyperlink w:anchor="_Toc210308093" w:history="1">
            <w:r w:rsidRPr="005F4AB5">
              <w:rPr>
                <w:rStyle w:val="Hyperlink"/>
                <w:noProof/>
              </w:rPr>
              <w:t>G – JCS Allocations (Innsworth, Twigworth, South Churchdown and North Brockworth)</w:t>
            </w:r>
            <w:r w:rsidRPr="005F4AB5">
              <w:rPr>
                <w:noProof/>
                <w:webHidden/>
              </w:rPr>
              <w:tab/>
            </w:r>
            <w:r w:rsidR="00F1654A">
              <w:rPr>
                <w:noProof/>
                <w:webHidden/>
              </w:rPr>
              <w:t>9</w:t>
            </w:r>
          </w:hyperlink>
        </w:p>
        <w:p w14:paraId="0BCA7E84" w14:textId="7907C8FF" w:rsidR="00B42291" w:rsidRPr="005F4AB5" w:rsidRDefault="00B42291">
          <w:pPr>
            <w:pStyle w:val="TOC3"/>
            <w:tabs>
              <w:tab w:val="right" w:leader="dot" w:pos="9660"/>
            </w:tabs>
            <w:rPr>
              <w:rFonts w:asciiTheme="minorHAnsi" w:eastAsiaTheme="minorEastAsia" w:hAnsiTheme="minorHAnsi" w:cstheme="minorBidi"/>
              <w:noProof/>
              <w:kern w:val="2"/>
              <w:szCs w:val="24"/>
              <w:lang w:val="en-GB" w:eastAsia="en-GB"/>
              <w14:ligatures w14:val="standardContextual"/>
            </w:rPr>
          </w:pPr>
          <w:hyperlink w:anchor="_Toc210308094" w:history="1">
            <w:r w:rsidRPr="005F4AB5">
              <w:rPr>
                <w:rStyle w:val="Hyperlink"/>
                <w:noProof/>
              </w:rPr>
              <w:t>Summary of Categories</w:t>
            </w:r>
            <w:r w:rsidRPr="005F4AB5">
              <w:rPr>
                <w:noProof/>
                <w:webHidden/>
              </w:rPr>
              <w:tab/>
            </w:r>
            <w:r w:rsidR="00F1654A">
              <w:rPr>
                <w:noProof/>
                <w:webHidden/>
              </w:rPr>
              <w:t>9</w:t>
            </w:r>
          </w:hyperlink>
        </w:p>
        <w:p w14:paraId="726442ED" w14:textId="120EAC9F" w:rsidR="00B42291" w:rsidRPr="005F4AB5" w:rsidRDefault="00B42291">
          <w:pPr>
            <w:pStyle w:val="TOC2"/>
            <w:tabs>
              <w:tab w:val="left" w:pos="1200"/>
              <w:tab w:val="right" w:leader="dot" w:pos="9660"/>
            </w:tabs>
            <w:rPr>
              <w:rFonts w:asciiTheme="minorHAnsi" w:eastAsiaTheme="minorEastAsia" w:hAnsiTheme="minorHAnsi" w:cstheme="minorBidi"/>
              <w:noProof/>
              <w:kern w:val="2"/>
              <w:szCs w:val="24"/>
              <w:lang w:val="en-GB" w:eastAsia="en-GB"/>
              <w14:ligatures w14:val="standardContextual"/>
            </w:rPr>
          </w:pPr>
          <w:hyperlink w:anchor="_Toc210308095" w:history="1">
            <w:r w:rsidRPr="005F4AB5">
              <w:rPr>
                <w:rStyle w:val="Hyperlink"/>
                <w:noProof/>
              </w:rPr>
              <w:t>8.</w:t>
            </w:r>
            <w:r w:rsidRPr="005F4AB5">
              <w:rPr>
                <w:rFonts w:asciiTheme="minorHAnsi" w:eastAsiaTheme="minorEastAsia" w:hAnsiTheme="minorHAnsi" w:cstheme="minorBidi"/>
                <w:noProof/>
                <w:kern w:val="2"/>
                <w:szCs w:val="24"/>
                <w:lang w:val="en-GB" w:eastAsia="en-GB"/>
                <w14:ligatures w14:val="standardContextual"/>
              </w:rPr>
              <w:tab/>
            </w:r>
            <w:r w:rsidRPr="005F4AB5">
              <w:rPr>
                <w:rStyle w:val="Hyperlink"/>
                <w:noProof/>
              </w:rPr>
              <w:t>Housing delivery</w:t>
            </w:r>
            <w:r w:rsidRPr="005F4AB5">
              <w:rPr>
                <w:noProof/>
                <w:webHidden/>
              </w:rPr>
              <w:tab/>
            </w:r>
            <w:r w:rsidR="00F1654A">
              <w:rPr>
                <w:noProof/>
                <w:webHidden/>
              </w:rPr>
              <w:t>11</w:t>
            </w:r>
          </w:hyperlink>
        </w:p>
        <w:p w14:paraId="0B68680D" w14:textId="3992B095" w:rsidR="00B42291" w:rsidRPr="005F4AB5" w:rsidRDefault="00B42291">
          <w:pPr>
            <w:pStyle w:val="TOC3"/>
            <w:tabs>
              <w:tab w:val="right" w:leader="dot" w:pos="9660"/>
            </w:tabs>
            <w:rPr>
              <w:rFonts w:asciiTheme="minorHAnsi" w:eastAsiaTheme="minorEastAsia" w:hAnsiTheme="minorHAnsi" w:cstheme="minorBidi"/>
              <w:noProof/>
              <w:kern w:val="2"/>
              <w:szCs w:val="24"/>
              <w:lang w:val="en-GB" w:eastAsia="en-GB"/>
              <w14:ligatures w14:val="standardContextual"/>
            </w:rPr>
          </w:pPr>
          <w:hyperlink w:anchor="_Toc210308096" w:history="1">
            <w:r w:rsidRPr="005F4AB5">
              <w:rPr>
                <w:rStyle w:val="Hyperlink"/>
                <w:noProof/>
              </w:rPr>
              <w:t>Lead-in times</w:t>
            </w:r>
            <w:r w:rsidRPr="005F4AB5">
              <w:rPr>
                <w:noProof/>
                <w:webHidden/>
              </w:rPr>
              <w:tab/>
            </w:r>
            <w:r w:rsidR="00083A26">
              <w:rPr>
                <w:noProof/>
                <w:webHidden/>
              </w:rPr>
              <w:t>12</w:t>
            </w:r>
          </w:hyperlink>
        </w:p>
        <w:p w14:paraId="3F6C6834" w14:textId="005BDDEA" w:rsidR="00B42291" w:rsidRPr="005F4AB5" w:rsidRDefault="00B42291">
          <w:pPr>
            <w:pStyle w:val="TOC3"/>
            <w:tabs>
              <w:tab w:val="right" w:leader="dot" w:pos="9660"/>
            </w:tabs>
            <w:rPr>
              <w:rFonts w:asciiTheme="minorHAnsi" w:eastAsiaTheme="minorEastAsia" w:hAnsiTheme="minorHAnsi" w:cstheme="minorBidi"/>
              <w:noProof/>
              <w:kern w:val="2"/>
              <w:szCs w:val="24"/>
              <w:lang w:val="en-GB" w:eastAsia="en-GB"/>
              <w14:ligatures w14:val="standardContextual"/>
            </w:rPr>
          </w:pPr>
          <w:hyperlink w:anchor="_Toc210308097" w:history="1">
            <w:r w:rsidRPr="005F4AB5">
              <w:rPr>
                <w:rStyle w:val="Hyperlink"/>
                <w:noProof/>
              </w:rPr>
              <w:t>Build-out times</w:t>
            </w:r>
            <w:r w:rsidRPr="005F4AB5">
              <w:rPr>
                <w:noProof/>
                <w:webHidden/>
              </w:rPr>
              <w:tab/>
            </w:r>
            <w:r w:rsidR="00083A26">
              <w:rPr>
                <w:noProof/>
                <w:webHidden/>
              </w:rPr>
              <w:t>12</w:t>
            </w:r>
          </w:hyperlink>
        </w:p>
        <w:p w14:paraId="3CE6768C" w14:textId="118D2C32" w:rsidR="00B42291" w:rsidRPr="005F4AB5" w:rsidRDefault="00B42291">
          <w:pPr>
            <w:pStyle w:val="TOC2"/>
            <w:tabs>
              <w:tab w:val="left" w:pos="1200"/>
              <w:tab w:val="right" w:leader="dot" w:pos="9660"/>
            </w:tabs>
            <w:rPr>
              <w:rFonts w:asciiTheme="minorHAnsi" w:eastAsiaTheme="minorEastAsia" w:hAnsiTheme="minorHAnsi" w:cstheme="minorBidi"/>
              <w:noProof/>
              <w:kern w:val="2"/>
              <w:szCs w:val="24"/>
              <w:lang w:val="en-GB" w:eastAsia="en-GB"/>
              <w14:ligatures w14:val="standardContextual"/>
            </w:rPr>
          </w:pPr>
          <w:hyperlink w:anchor="_Toc210308098" w:history="1">
            <w:r w:rsidRPr="005F4AB5">
              <w:rPr>
                <w:rStyle w:val="Hyperlink"/>
                <w:noProof/>
              </w:rPr>
              <w:t>9.</w:t>
            </w:r>
            <w:r w:rsidRPr="005F4AB5">
              <w:rPr>
                <w:rFonts w:asciiTheme="minorHAnsi" w:eastAsiaTheme="minorEastAsia" w:hAnsiTheme="minorHAnsi" w:cstheme="minorBidi"/>
                <w:noProof/>
                <w:kern w:val="2"/>
                <w:szCs w:val="24"/>
                <w:lang w:val="en-GB" w:eastAsia="en-GB"/>
                <w14:ligatures w14:val="standardContextual"/>
              </w:rPr>
              <w:tab/>
            </w:r>
            <w:r w:rsidRPr="005F4AB5">
              <w:rPr>
                <w:rStyle w:val="Hyperlink"/>
                <w:noProof/>
              </w:rPr>
              <w:t>Five-year housing land supply calculation at 31 March 2025</w:t>
            </w:r>
            <w:r w:rsidRPr="005F4AB5">
              <w:rPr>
                <w:noProof/>
                <w:webHidden/>
              </w:rPr>
              <w:tab/>
            </w:r>
            <w:r w:rsidR="00F1654A">
              <w:rPr>
                <w:noProof/>
                <w:webHidden/>
              </w:rPr>
              <w:t>1</w:t>
            </w:r>
            <w:r w:rsidR="00E07C06">
              <w:rPr>
                <w:noProof/>
                <w:webHidden/>
              </w:rPr>
              <w:t>4</w:t>
            </w:r>
          </w:hyperlink>
        </w:p>
        <w:p w14:paraId="705EA2A9" w14:textId="23D690CE" w:rsidR="00B42291" w:rsidRPr="005F4AB5" w:rsidRDefault="00B42291">
          <w:pPr>
            <w:pStyle w:val="TOC2"/>
            <w:tabs>
              <w:tab w:val="right" w:leader="dot" w:pos="9660"/>
            </w:tabs>
            <w:rPr>
              <w:rFonts w:asciiTheme="minorHAnsi" w:eastAsiaTheme="minorEastAsia" w:hAnsiTheme="minorHAnsi" w:cstheme="minorBidi"/>
              <w:noProof/>
              <w:kern w:val="2"/>
              <w:szCs w:val="24"/>
              <w:lang w:val="en-GB" w:eastAsia="en-GB"/>
              <w14:ligatures w14:val="standardContextual"/>
            </w:rPr>
          </w:pPr>
          <w:hyperlink w:anchor="_Toc210308099" w:history="1">
            <w:r w:rsidRPr="005F4AB5">
              <w:rPr>
                <w:rStyle w:val="Hyperlink"/>
                <w:noProof/>
              </w:rPr>
              <w:t>Appendix 1: Standard method calculation</w:t>
            </w:r>
            <w:r w:rsidRPr="005F4AB5">
              <w:rPr>
                <w:noProof/>
                <w:webHidden/>
              </w:rPr>
              <w:tab/>
            </w:r>
            <w:r w:rsidRPr="005F4AB5">
              <w:rPr>
                <w:noProof/>
                <w:webHidden/>
              </w:rPr>
              <w:fldChar w:fldCharType="begin"/>
            </w:r>
            <w:r w:rsidRPr="005F4AB5">
              <w:rPr>
                <w:noProof/>
                <w:webHidden/>
              </w:rPr>
              <w:instrText xml:space="preserve"> PAGEREF _Toc210308099 \h </w:instrText>
            </w:r>
            <w:r w:rsidRPr="005F4AB5">
              <w:rPr>
                <w:noProof/>
                <w:webHidden/>
              </w:rPr>
            </w:r>
            <w:r w:rsidRPr="005F4AB5">
              <w:rPr>
                <w:noProof/>
                <w:webHidden/>
              </w:rPr>
              <w:fldChar w:fldCharType="separate"/>
            </w:r>
            <w:r w:rsidR="007E6E90">
              <w:rPr>
                <w:noProof/>
                <w:webHidden/>
              </w:rPr>
              <w:t>1</w:t>
            </w:r>
            <w:r w:rsidRPr="005F4AB5">
              <w:rPr>
                <w:noProof/>
                <w:webHidden/>
              </w:rPr>
              <w:fldChar w:fldCharType="end"/>
            </w:r>
          </w:hyperlink>
          <w:r w:rsidR="00B3057A">
            <w:rPr>
              <w:noProof/>
            </w:rPr>
            <w:t>5</w:t>
          </w:r>
        </w:p>
        <w:p w14:paraId="79932A5F" w14:textId="710EBE50" w:rsidR="00B42291" w:rsidRPr="005F4AB5" w:rsidRDefault="00B42291">
          <w:pPr>
            <w:pStyle w:val="TOC2"/>
            <w:tabs>
              <w:tab w:val="right" w:leader="dot" w:pos="9660"/>
            </w:tabs>
            <w:rPr>
              <w:rFonts w:asciiTheme="minorHAnsi" w:eastAsiaTheme="minorEastAsia" w:hAnsiTheme="minorHAnsi" w:cstheme="minorBidi"/>
              <w:noProof/>
              <w:kern w:val="2"/>
              <w:szCs w:val="24"/>
              <w:lang w:val="en-GB" w:eastAsia="en-GB"/>
              <w14:ligatures w14:val="standardContextual"/>
            </w:rPr>
          </w:pPr>
          <w:hyperlink w:anchor="_Toc210308100" w:history="1">
            <w:r w:rsidRPr="005F4AB5">
              <w:rPr>
                <w:rStyle w:val="Hyperlink"/>
                <w:noProof/>
              </w:rPr>
              <w:t>Appendix 2: All Sites</w:t>
            </w:r>
            <w:r w:rsidRPr="005F4AB5">
              <w:rPr>
                <w:noProof/>
                <w:webHidden/>
              </w:rPr>
              <w:tab/>
            </w:r>
            <w:r w:rsidRPr="005F4AB5">
              <w:rPr>
                <w:noProof/>
                <w:webHidden/>
              </w:rPr>
              <w:fldChar w:fldCharType="begin"/>
            </w:r>
            <w:r w:rsidRPr="005F4AB5">
              <w:rPr>
                <w:noProof/>
                <w:webHidden/>
              </w:rPr>
              <w:instrText xml:space="preserve"> PAGEREF _Toc210308100 \h </w:instrText>
            </w:r>
            <w:r w:rsidRPr="005F4AB5">
              <w:rPr>
                <w:noProof/>
                <w:webHidden/>
              </w:rPr>
            </w:r>
            <w:r w:rsidRPr="005F4AB5">
              <w:rPr>
                <w:noProof/>
                <w:webHidden/>
              </w:rPr>
              <w:fldChar w:fldCharType="separate"/>
            </w:r>
            <w:r w:rsidR="007E6E90">
              <w:rPr>
                <w:noProof/>
                <w:webHidden/>
              </w:rPr>
              <w:t>1</w:t>
            </w:r>
            <w:r w:rsidR="00E07C39">
              <w:rPr>
                <w:noProof/>
                <w:webHidden/>
              </w:rPr>
              <w:t>7</w:t>
            </w:r>
            <w:r w:rsidRPr="005F4AB5">
              <w:rPr>
                <w:noProof/>
                <w:webHidden/>
              </w:rPr>
              <w:fldChar w:fldCharType="end"/>
            </w:r>
          </w:hyperlink>
        </w:p>
        <w:p w14:paraId="28A46934" w14:textId="1DCD7DD1" w:rsidR="00A3117F" w:rsidRPr="005F4AB5" w:rsidRDefault="00A3117F">
          <w:r w:rsidRPr="005F4AB5">
            <w:rPr>
              <w:b/>
              <w:bCs/>
              <w:noProof/>
            </w:rPr>
            <w:fldChar w:fldCharType="end"/>
          </w:r>
        </w:p>
      </w:sdtContent>
    </w:sdt>
    <w:p w14:paraId="46EAFE8E" w14:textId="18CC14CC" w:rsidR="007E00D2" w:rsidRPr="005F4AB5" w:rsidRDefault="007E00D2"/>
    <w:p w14:paraId="13A9D3DF" w14:textId="77777777" w:rsidR="00902419" w:rsidRPr="005F4AB5" w:rsidRDefault="00902419"/>
    <w:p w14:paraId="754D1986" w14:textId="77777777" w:rsidR="00902419" w:rsidRPr="005F4AB5" w:rsidRDefault="00902419" w:rsidP="000D58DB">
      <w:pPr>
        <w:rPr>
          <w:b/>
          <w:szCs w:val="24"/>
        </w:rPr>
      </w:pPr>
      <w:bookmarkStart w:id="12" w:name="_Hlk173222732"/>
    </w:p>
    <w:p w14:paraId="44EA12B1" w14:textId="77777777" w:rsidR="00902419" w:rsidRPr="005F4AB5" w:rsidRDefault="00902419" w:rsidP="000D58DB">
      <w:pPr>
        <w:rPr>
          <w:b/>
          <w:szCs w:val="24"/>
        </w:rPr>
      </w:pPr>
    </w:p>
    <w:p w14:paraId="272895FB" w14:textId="77777777" w:rsidR="00902419" w:rsidRPr="005F4AB5" w:rsidRDefault="00902419" w:rsidP="000D58DB">
      <w:pPr>
        <w:rPr>
          <w:b/>
          <w:szCs w:val="24"/>
        </w:rPr>
      </w:pPr>
    </w:p>
    <w:p w14:paraId="55B2207A" w14:textId="77777777" w:rsidR="00902419" w:rsidRPr="005F4AB5" w:rsidRDefault="00902419" w:rsidP="000D58DB">
      <w:pPr>
        <w:rPr>
          <w:b/>
          <w:szCs w:val="24"/>
        </w:rPr>
      </w:pPr>
    </w:p>
    <w:p w14:paraId="4117177A" w14:textId="77777777" w:rsidR="00902419" w:rsidRPr="005F4AB5" w:rsidRDefault="00902419" w:rsidP="000D58DB">
      <w:pPr>
        <w:rPr>
          <w:b/>
          <w:szCs w:val="24"/>
        </w:rPr>
      </w:pPr>
    </w:p>
    <w:p w14:paraId="6564D5BC" w14:textId="77777777" w:rsidR="00902419" w:rsidRPr="005F4AB5" w:rsidRDefault="00902419" w:rsidP="000D58DB">
      <w:pPr>
        <w:rPr>
          <w:b/>
          <w:szCs w:val="24"/>
        </w:rPr>
      </w:pPr>
    </w:p>
    <w:p w14:paraId="6397BC82" w14:textId="77777777" w:rsidR="00B42291" w:rsidRPr="005F4AB5" w:rsidRDefault="00B42291" w:rsidP="000D58DB">
      <w:pPr>
        <w:rPr>
          <w:b/>
          <w:szCs w:val="24"/>
        </w:rPr>
      </w:pPr>
    </w:p>
    <w:p w14:paraId="439C1E53" w14:textId="77777777" w:rsidR="00B42291" w:rsidRPr="005F4AB5" w:rsidRDefault="00B42291" w:rsidP="000D58DB">
      <w:pPr>
        <w:rPr>
          <w:b/>
          <w:szCs w:val="24"/>
        </w:rPr>
      </w:pPr>
    </w:p>
    <w:p w14:paraId="0D0684D1" w14:textId="77777777" w:rsidR="00902419" w:rsidRPr="005F4AB5" w:rsidRDefault="00902419" w:rsidP="000D58DB">
      <w:pPr>
        <w:rPr>
          <w:b/>
          <w:szCs w:val="24"/>
        </w:rPr>
      </w:pPr>
    </w:p>
    <w:p w14:paraId="066FCCDB" w14:textId="77777777" w:rsidR="00902419" w:rsidRPr="005F4AB5" w:rsidRDefault="00902419" w:rsidP="000D58DB">
      <w:pPr>
        <w:rPr>
          <w:b/>
          <w:szCs w:val="24"/>
        </w:rPr>
      </w:pPr>
    </w:p>
    <w:p w14:paraId="1D286377" w14:textId="3B8E48FA" w:rsidR="00BF345E" w:rsidRPr="005F4AB5" w:rsidRDefault="00960115" w:rsidP="0084751A">
      <w:pPr>
        <w:pStyle w:val="Heading2"/>
        <w:ind w:hanging="720"/>
        <w:rPr>
          <w:color w:val="auto"/>
        </w:rPr>
      </w:pPr>
      <w:bookmarkStart w:id="13" w:name="1._Introduction"/>
      <w:bookmarkStart w:id="14" w:name="_Toc210303289"/>
      <w:bookmarkStart w:id="15" w:name="_Toc210308080"/>
      <w:bookmarkEnd w:id="12"/>
      <w:bookmarkEnd w:id="13"/>
      <w:r w:rsidRPr="005F4AB5">
        <w:rPr>
          <w:color w:val="auto"/>
        </w:rPr>
        <w:lastRenderedPageBreak/>
        <w:t>Introduction</w:t>
      </w:r>
      <w:bookmarkEnd w:id="14"/>
      <w:bookmarkEnd w:id="15"/>
    </w:p>
    <w:p w14:paraId="13F7F81A" w14:textId="46299D43" w:rsidR="004B32F9" w:rsidRPr="005F4AB5" w:rsidRDefault="004B32F9" w:rsidP="000D58DB">
      <w:pPr>
        <w:pStyle w:val="ListParagraph"/>
        <w:numPr>
          <w:ilvl w:val="1"/>
          <w:numId w:val="7"/>
        </w:numPr>
        <w:tabs>
          <w:tab w:val="left" w:pos="688"/>
        </w:tabs>
        <w:spacing w:before="1" w:line="276" w:lineRule="auto"/>
        <w:ind w:right="136" w:hanging="720"/>
        <w:jc w:val="left"/>
      </w:pPr>
      <w:r w:rsidRPr="005F4AB5">
        <w:t xml:space="preserve">On </w:t>
      </w:r>
      <w:r w:rsidR="003F49A7" w:rsidRPr="005F4AB5">
        <w:t>12 December</w:t>
      </w:r>
      <w:r w:rsidRPr="005F4AB5">
        <w:t xml:space="preserve"> 2024 the Ministry of Housing, Communities &amp; Local Government published </w:t>
      </w:r>
      <w:r w:rsidR="003F49A7" w:rsidRPr="005F4AB5">
        <w:t>the new</w:t>
      </w:r>
      <w:r w:rsidR="00146683" w:rsidRPr="005F4AB5">
        <w:rPr>
          <w:rStyle w:val="Hyperlink"/>
          <w:color w:val="auto"/>
          <w:u w:val="none"/>
        </w:rPr>
        <w:t xml:space="preserve"> </w:t>
      </w:r>
      <w:hyperlink r:id="rId12" w:history="1">
        <w:r w:rsidR="00146683" w:rsidRPr="005F4AB5">
          <w:rPr>
            <w:rStyle w:val="Hyperlink"/>
            <w:color w:val="auto"/>
          </w:rPr>
          <w:t>‘National Planning Policy Framework’ (NPPF)</w:t>
        </w:r>
      </w:hyperlink>
      <w:r w:rsidR="00146683" w:rsidRPr="005F4AB5">
        <w:rPr>
          <w:rStyle w:val="Hyperlink"/>
          <w:color w:val="auto"/>
          <w:u w:val="none"/>
        </w:rPr>
        <w:t xml:space="preserve"> </w:t>
      </w:r>
      <w:r w:rsidR="009F08A7" w:rsidRPr="005F4AB5">
        <w:rPr>
          <w:rStyle w:val="Hyperlink"/>
          <w:color w:val="auto"/>
          <w:u w:val="none"/>
        </w:rPr>
        <w:t>which brought in k</w:t>
      </w:r>
      <w:r w:rsidR="00DC3B3C" w:rsidRPr="005F4AB5">
        <w:t>ey changes to</w:t>
      </w:r>
      <w:r w:rsidR="00A52683" w:rsidRPr="005F4AB5">
        <w:t xml:space="preserve"> housing need and housing land supply</w:t>
      </w:r>
      <w:r w:rsidR="009F08A7" w:rsidRPr="005F4AB5">
        <w:t xml:space="preserve">. </w:t>
      </w:r>
      <w:r w:rsidR="00686AD2" w:rsidRPr="005F4AB5">
        <w:t xml:space="preserve">These changes </w:t>
      </w:r>
      <w:r w:rsidR="009F08A7" w:rsidRPr="005F4AB5">
        <w:t xml:space="preserve">are reflected in this </w:t>
      </w:r>
      <w:r w:rsidR="00686AD2" w:rsidRPr="005F4AB5">
        <w:t xml:space="preserve">five year housing land supply statement. </w:t>
      </w:r>
    </w:p>
    <w:p w14:paraId="6C870C83" w14:textId="77777777" w:rsidR="004B32F9" w:rsidRPr="005F4AB5" w:rsidRDefault="004B32F9" w:rsidP="00937A96">
      <w:pPr>
        <w:widowControl/>
        <w:autoSpaceDE/>
        <w:autoSpaceDN/>
        <w:spacing w:line="276" w:lineRule="auto"/>
        <w:rPr>
          <w:szCs w:val="24"/>
        </w:rPr>
      </w:pPr>
    </w:p>
    <w:p w14:paraId="176DCD6C" w14:textId="67F8EA57" w:rsidR="0063716B" w:rsidRPr="005F4AB5" w:rsidRDefault="00A01D8D" w:rsidP="000D58DB">
      <w:pPr>
        <w:pStyle w:val="ListParagraph"/>
        <w:widowControl/>
        <w:numPr>
          <w:ilvl w:val="1"/>
          <w:numId w:val="7"/>
        </w:numPr>
        <w:autoSpaceDE/>
        <w:autoSpaceDN/>
        <w:spacing w:line="276" w:lineRule="auto"/>
        <w:ind w:hanging="720"/>
        <w:jc w:val="left"/>
        <w:rPr>
          <w:szCs w:val="24"/>
        </w:rPr>
      </w:pPr>
      <w:r w:rsidRPr="005F4AB5">
        <w:rPr>
          <w:szCs w:val="24"/>
        </w:rPr>
        <w:t xml:space="preserve">Paragraph </w:t>
      </w:r>
      <w:r w:rsidR="00D0519C" w:rsidRPr="005F4AB5">
        <w:rPr>
          <w:szCs w:val="24"/>
        </w:rPr>
        <w:t>7</w:t>
      </w:r>
      <w:r w:rsidR="00686AD2" w:rsidRPr="005F4AB5">
        <w:rPr>
          <w:szCs w:val="24"/>
        </w:rPr>
        <w:t>8</w:t>
      </w:r>
      <w:r w:rsidR="00D0519C" w:rsidRPr="005F4AB5">
        <w:rPr>
          <w:szCs w:val="24"/>
        </w:rPr>
        <w:t xml:space="preserve"> </w:t>
      </w:r>
      <w:r w:rsidRPr="005F4AB5">
        <w:rPr>
          <w:szCs w:val="24"/>
        </w:rPr>
        <w:t xml:space="preserve">of the </w:t>
      </w:r>
      <w:r w:rsidR="004B32F9" w:rsidRPr="005F4AB5">
        <w:rPr>
          <w:szCs w:val="24"/>
        </w:rPr>
        <w:t xml:space="preserve">NPPF </w:t>
      </w:r>
      <w:r w:rsidR="00865B58" w:rsidRPr="005F4AB5">
        <w:rPr>
          <w:szCs w:val="24"/>
        </w:rPr>
        <w:t xml:space="preserve">states </w:t>
      </w:r>
      <w:bookmarkStart w:id="16" w:name="_Hlk173145200"/>
      <w:bookmarkStart w:id="17" w:name="_Hlk173145159"/>
      <w:r w:rsidR="00865B58" w:rsidRPr="005F4AB5">
        <w:rPr>
          <w:i/>
          <w:szCs w:val="24"/>
        </w:rPr>
        <w:t>“</w:t>
      </w:r>
      <w:r w:rsidR="0063716B" w:rsidRPr="005F4AB5">
        <w:rPr>
          <w:i/>
          <w:szCs w:val="24"/>
        </w:rPr>
        <w:t>…</w:t>
      </w:r>
      <w:r w:rsidR="00865B58" w:rsidRPr="005F4AB5">
        <w:rPr>
          <w:i/>
          <w:szCs w:val="24"/>
        </w:rPr>
        <w:t>Local planning authorities should identify and update annually a supply of specific deliverable sites sufficient to provide a minimum of five years’ worth of housing</w:t>
      </w:r>
      <w:bookmarkEnd w:id="16"/>
      <w:r w:rsidR="00694DFE" w:rsidRPr="005F4AB5">
        <w:rPr>
          <w:i/>
          <w:iCs/>
          <w:szCs w:val="24"/>
        </w:rPr>
        <w:t xml:space="preserve"> against their housing requirement set out in the adopted strategic policies (Footnote 38), or against their local housing need where the strategic policies are more than five years (Footnote 39)”</w:t>
      </w:r>
      <w:r w:rsidR="00161240" w:rsidRPr="005F4AB5">
        <w:rPr>
          <w:i/>
          <w:iCs/>
          <w:szCs w:val="24"/>
        </w:rPr>
        <w:t>.</w:t>
      </w:r>
      <w:r w:rsidR="00D0519C" w:rsidRPr="005F4AB5">
        <w:rPr>
          <w:i/>
          <w:iCs/>
          <w:szCs w:val="24"/>
        </w:rPr>
        <w:t xml:space="preserve"> </w:t>
      </w:r>
    </w:p>
    <w:bookmarkEnd w:id="17"/>
    <w:p w14:paraId="36A48FCD" w14:textId="77777777" w:rsidR="005840EA" w:rsidRPr="005F4AB5" w:rsidRDefault="005840EA" w:rsidP="000D58DB">
      <w:pPr>
        <w:pStyle w:val="ListParagraph"/>
        <w:jc w:val="left"/>
        <w:rPr>
          <w:szCs w:val="24"/>
        </w:rPr>
      </w:pPr>
    </w:p>
    <w:p w14:paraId="0F35646E" w14:textId="2FAF5170" w:rsidR="002C52F8" w:rsidRPr="005F4AB5" w:rsidRDefault="00A01D8D" w:rsidP="000D58DB">
      <w:pPr>
        <w:pStyle w:val="ListParagraph"/>
        <w:widowControl/>
        <w:numPr>
          <w:ilvl w:val="1"/>
          <w:numId w:val="7"/>
        </w:numPr>
        <w:autoSpaceDE/>
        <w:autoSpaceDN/>
        <w:spacing w:line="276" w:lineRule="auto"/>
        <w:ind w:hanging="720"/>
        <w:jc w:val="left"/>
        <w:rPr>
          <w:szCs w:val="24"/>
        </w:rPr>
      </w:pPr>
      <w:r w:rsidRPr="005F4AB5">
        <w:rPr>
          <w:szCs w:val="24"/>
        </w:rPr>
        <w:t xml:space="preserve">This statement sets out the position on the </w:t>
      </w:r>
      <w:r w:rsidR="00AB7245" w:rsidRPr="005F4AB5">
        <w:rPr>
          <w:szCs w:val="24"/>
        </w:rPr>
        <w:t>five-year</w:t>
      </w:r>
      <w:r w:rsidRPr="005F4AB5">
        <w:rPr>
          <w:szCs w:val="24"/>
        </w:rPr>
        <w:t xml:space="preserve"> housing land supply for </w:t>
      </w:r>
      <w:r w:rsidR="00C33311" w:rsidRPr="005F4AB5">
        <w:rPr>
          <w:szCs w:val="24"/>
        </w:rPr>
        <w:t>Gloucester City</w:t>
      </w:r>
      <w:r w:rsidRPr="005F4AB5">
        <w:rPr>
          <w:szCs w:val="24"/>
        </w:rPr>
        <w:t xml:space="preserve"> Council </w:t>
      </w:r>
      <w:r w:rsidR="00BE4041" w:rsidRPr="005F4AB5">
        <w:rPr>
          <w:szCs w:val="24"/>
        </w:rPr>
        <w:t>(</w:t>
      </w:r>
      <w:r w:rsidR="00C33311" w:rsidRPr="005F4AB5">
        <w:rPr>
          <w:szCs w:val="24"/>
        </w:rPr>
        <w:t>GCC</w:t>
      </w:r>
      <w:r w:rsidR="00BE4041" w:rsidRPr="005F4AB5">
        <w:rPr>
          <w:szCs w:val="24"/>
        </w:rPr>
        <w:t xml:space="preserve">) </w:t>
      </w:r>
      <w:r w:rsidRPr="005F4AB5">
        <w:rPr>
          <w:szCs w:val="24"/>
        </w:rPr>
        <w:t xml:space="preserve">as of </w:t>
      </w:r>
      <w:r w:rsidR="0084793D" w:rsidRPr="005F4AB5">
        <w:rPr>
          <w:szCs w:val="24"/>
        </w:rPr>
        <w:t>31</w:t>
      </w:r>
      <w:r w:rsidR="00BE0305" w:rsidRPr="005F4AB5">
        <w:rPr>
          <w:szCs w:val="24"/>
        </w:rPr>
        <w:t>st</w:t>
      </w:r>
      <w:r w:rsidR="0084793D" w:rsidRPr="005F4AB5">
        <w:rPr>
          <w:szCs w:val="24"/>
        </w:rPr>
        <w:t xml:space="preserve"> March </w:t>
      </w:r>
      <w:r w:rsidR="00ED3B13" w:rsidRPr="005F4AB5">
        <w:rPr>
          <w:szCs w:val="24"/>
        </w:rPr>
        <w:t>202</w:t>
      </w:r>
      <w:r w:rsidR="00694DFE" w:rsidRPr="005F4AB5">
        <w:rPr>
          <w:szCs w:val="24"/>
        </w:rPr>
        <w:t>5</w:t>
      </w:r>
      <w:r w:rsidR="00BE0305" w:rsidRPr="005F4AB5">
        <w:rPr>
          <w:szCs w:val="24"/>
        </w:rPr>
        <w:t xml:space="preserve"> and covers the five-year period from 1st April 202</w:t>
      </w:r>
      <w:r w:rsidR="00694DFE" w:rsidRPr="005F4AB5">
        <w:rPr>
          <w:szCs w:val="24"/>
        </w:rPr>
        <w:t>5</w:t>
      </w:r>
      <w:r w:rsidR="00BE0305" w:rsidRPr="005F4AB5">
        <w:rPr>
          <w:szCs w:val="24"/>
        </w:rPr>
        <w:t xml:space="preserve"> until 31st March 20</w:t>
      </w:r>
      <w:r w:rsidR="00694DFE" w:rsidRPr="005F4AB5">
        <w:rPr>
          <w:szCs w:val="24"/>
        </w:rPr>
        <w:t>30</w:t>
      </w:r>
      <w:r w:rsidR="0084793D" w:rsidRPr="005F4AB5">
        <w:rPr>
          <w:szCs w:val="24"/>
        </w:rPr>
        <w:t xml:space="preserve">. </w:t>
      </w:r>
      <w:r w:rsidR="00301DB6" w:rsidRPr="005F4AB5">
        <w:rPr>
          <w:szCs w:val="24"/>
        </w:rPr>
        <w:fldChar w:fldCharType="begin"/>
      </w:r>
      <w:r w:rsidR="00301DB6" w:rsidRPr="005F4AB5">
        <w:rPr>
          <w:szCs w:val="24"/>
        </w:rPr>
        <w:instrText xml:space="preserve"> REF _Ref121390194 \h </w:instrText>
      </w:r>
      <w:r w:rsidR="00FF46F5" w:rsidRPr="005F4AB5">
        <w:rPr>
          <w:szCs w:val="24"/>
        </w:rPr>
        <w:instrText xml:space="preserve"> \* MERGEFORMAT </w:instrText>
      </w:r>
      <w:r w:rsidR="00301DB6" w:rsidRPr="005F4AB5">
        <w:rPr>
          <w:szCs w:val="24"/>
        </w:rPr>
      </w:r>
      <w:r w:rsidR="00301DB6" w:rsidRPr="005F4AB5">
        <w:rPr>
          <w:szCs w:val="24"/>
        </w:rPr>
        <w:fldChar w:fldCharType="separate"/>
      </w:r>
      <w:r w:rsidR="00033F80" w:rsidRPr="005F4AB5">
        <w:rPr>
          <w:b/>
          <w:bCs/>
          <w:szCs w:val="24"/>
        </w:rPr>
        <w:t xml:space="preserve">Figure </w:t>
      </w:r>
      <w:r w:rsidR="00033F80">
        <w:rPr>
          <w:b/>
          <w:bCs/>
          <w:noProof/>
          <w:szCs w:val="24"/>
        </w:rPr>
        <w:t>8</w:t>
      </w:r>
      <w:r w:rsidR="00301DB6" w:rsidRPr="005F4AB5">
        <w:rPr>
          <w:szCs w:val="24"/>
        </w:rPr>
        <w:fldChar w:fldCharType="end"/>
      </w:r>
      <w:r w:rsidR="00301DB6" w:rsidRPr="005F4AB5">
        <w:rPr>
          <w:szCs w:val="24"/>
        </w:rPr>
        <w:t xml:space="preserve"> </w:t>
      </w:r>
      <w:r w:rsidR="002C52F8" w:rsidRPr="005F4AB5">
        <w:rPr>
          <w:szCs w:val="24"/>
        </w:rPr>
        <w:t xml:space="preserve">sets out that </w:t>
      </w:r>
      <w:r w:rsidR="00C33311" w:rsidRPr="005F4AB5">
        <w:rPr>
          <w:szCs w:val="24"/>
        </w:rPr>
        <w:t>GC</w:t>
      </w:r>
      <w:r w:rsidR="00BE4041" w:rsidRPr="005F4AB5">
        <w:rPr>
          <w:szCs w:val="24"/>
        </w:rPr>
        <w:t xml:space="preserve">C </w:t>
      </w:r>
      <w:r w:rsidR="002C52F8" w:rsidRPr="005F4AB5">
        <w:rPr>
          <w:szCs w:val="24"/>
        </w:rPr>
        <w:t xml:space="preserve">can demonstrate a </w:t>
      </w:r>
      <w:r w:rsidR="0018245F">
        <w:rPr>
          <w:szCs w:val="24"/>
        </w:rPr>
        <w:t>3</w:t>
      </w:r>
      <w:r w:rsidR="00B06840" w:rsidRPr="005F4AB5">
        <w:rPr>
          <w:szCs w:val="24"/>
        </w:rPr>
        <w:t>.</w:t>
      </w:r>
      <w:r w:rsidR="0018245F">
        <w:rPr>
          <w:szCs w:val="24"/>
        </w:rPr>
        <w:t>1</w:t>
      </w:r>
      <w:r w:rsidR="00B06840" w:rsidRPr="005F4AB5">
        <w:rPr>
          <w:szCs w:val="24"/>
        </w:rPr>
        <w:t xml:space="preserve"> </w:t>
      </w:r>
      <w:r w:rsidR="002C52F8" w:rsidRPr="005F4AB5">
        <w:rPr>
          <w:szCs w:val="24"/>
        </w:rPr>
        <w:t>years</w:t>
      </w:r>
      <w:r w:rsidR="00865B58" w:rsidRPr="005F4AB5">
        <w:rPr>
          <w:szCs w:val="24"/>
        </w:rPr>
        <w:t>’</w:t>
      </w:r>
      <w:r w:rsidR="002C52F8" w:rsidRPr="005F4AB5">
        <w:rPr>
          <w:szCs w:val="24"/>
        </w:rPr>
        <w:t xml:space="preserve"> supply of housing land. </w:t>
      </w:r>
    </w:p>
    <w:p w14:paraId="21062F8C" w14:textId="77777777" w:rsidR="00CE27A7" w:rsidRPr="005F4AB5" w:rsidRDefault="00CE27A7" w:rsidP="000D58DB">
      <w:pPr>
        <w:pStyle w:val="ListParagraph"/>
        <w:jc w:val="left"/>
        <w:rPr>
          <w:szCs w:val="24"/>
        </w:rPr>
      </w:pPr>
    </w:p>
    <w:p w14:paraId="310A2DAA" w14:textId="55616156" w:rsidR="0027605B" w:rsidRPr="005F4AB5" w:rsidRDefault="0027605B" w:rsidP="000D58DB">
      <w:pPr>
        <w:pStyle w:val="ListParagraph"/>
        <w:widowControl/>
        <w:numPr>
          <w:ilvl w:val="1"/>
          <w:numId w:val="7"/>
        </w:numPr>
        <w:autoSpaceDE/>
        <w:autoSpaceDN/>
        <w:spacing w:line="276" w:lineRule="auto"/>
        <w:ind w:hanging="720"/>
        <w:jc w:val="left"/>
        <w:rPr>
          <w:szCs w:val="24"/>
        </w:rPr>
      </w:pPr>
      <w:r w:rsidRPr="005F4AB5">
        <w:rPr>
          <w:szCs w:val="24"/>
        </w:rPr>
        <w:t xml:space="preserve">Any five-year housing land supply trajectory is a snapshot in time. </w:t>
      </w:r>
      <w:r w:rsidR="00FD1E14" w:rsidRPr="005F4AB5">
        <w:rPr>
          <w:szCs w:val="24"/>
        </w:rPr>
        <w:t xml:space="preserve">To prepare this statement, </w:t>
      </w:r>
      <w:r w:rsidR="00C33311" w:rsidRPr="005F4AB5">
        <w:rPr>
          <w:szCs w:val="24"/>
        </w:rPr>
        <w:t>G</w:t>
      </w:r>
      <w:r w:rsidRPr="005F4AB5">
        <w:rPr>
          <w:szCs w:val="24"/>
        </w:rPr>
        <w:t>C</w:t>
      </w:r>
      <w:r w:rsidR="00C33311" w:rsidRPr="005F4AB5">
        <w:rPr>
          <w:szCs w:val="24"/>
        </w:rPr>
        <w:t>C</w:t>
      </w:r>
      <w:r w:rsidRPr="005F4AB5">
        <w:rPr>
          <w:szCs w:val="24"/>
        </w:rPr>
        <w:t xml:space="preserve"> has engaged with site promoters, as well as drawing on the wider planning team and </w:t>
      </w:r>
      <w:r w:rsidRPr="005F4AB5">
        <w:rPr>
          <w:szCs w:val="24"/>
          <w:lang w:val="en-GB"/>
        </w:rPr>
        <w:t>utilising</w:t>
      </w:r>
      <w:r w:rsidRPr="005F4AB5">
        <w:rPr>
          <w:szCs w:val="24"/>
        </w:rPr>
        <w:t xml:space="preserve"> best practice with regard to delivery trajectories. </w:t>
      </w:r>
    </w:p>
    <w:p w14:paraId="1EB05D6D" w14:textId="77777777" w:rsidR="00A36A14" w:rsidRPr="005F4AB5" w:rsidRDefault="00A36A14" w:rsidP="000D58DB">
      <w:pPr>
        <w:pStyle w:val="ListParagraph"/>
        <w:jc w:val="left"/>
        <w:rPr>
          <w:szCs w:val="24"/>
        </w:rPr>
      </w:pPr>
    </w:p>
    <w:p w14:paraId="320665DC" w14:textId="77777777" w:rsidR="00865B58" w:rsidRPr="005F4AB5" w:rsidRDefault="00865B58" w:rsidP="000D58DB">
      <w:pPr>
        <w:pStyle w:val="BodyText"/>
      </w:pPr>
    </w:p>
    <w:p w14:paraId="143263C6" w14:textId="50CF5BE7" w:rsidR="002C52F8" w:rsidRPr="005F4AB5" w:rsidRDefault="00960115" w:rsidP="0084751A">
      <w:pPr>
        <w:pStyle w:val="Heading2"/>
        <w:ind w:hanging="720"/>
        <w:rPr>
          <w:color w:val="auto"/>
        </w:rPr>
      </w:pPr>
      <w:bookmarkStart w:id="18" w:name="_Toc210303290"/>
      <w:bookmarkStart w:id="19" w:name="_Toc210308081"/>
      <w:r w:rsidRPr="005F4AB5">
        <w:rPr>
          <w:color w:val="auto"/>
        </w:rPr>
        <w:t>Gloucester, Cheltenham, and Tewkesbury Joint Core Strategy (JCS)</w:t>
      </w:r>
      <w:bookmarkEnd w:id="18"/>
      <w:bookmarkEnd w:id="19"/>
      <w:r w:rsidRPr="005F4AB5">
        <w:rPr>
          <w:color w:val="auto"/>
        </w:rPr>
        <w:t xml:space="preserve"> </w:t>
      </w:r>
    </w:p>
    <w:p w14:paraId="66C0680B" w14:textId="59222516" w:rsidR="00AB7245" w:rsidRPr="005F4AB5" w:rsidRDefault="002C52F8" w:rsidP="000D58DB">
      <w:pPr>
        <w:pStyle w:val="ListParagraph"/>
        <w:widowControl/>
        <w:numPr>
          <w:ilvl w:val="1"/>
          <w:numId w:val="7"/>
        </w:numPr>
        <w:autoSpaceDE/>
        <w:autoSpaceDN/>
        <w:spacing w:line="276" w:lineRule="auto"/>
        <w:ind w:hanging="720"/>
        <w:jc w:val="left"/>
        <w:rPr>
          <w:szCs w:val="24"/>
        </w:rPr>
      </w:pPr>
      <w:r w:rsidRPr="005F4AB5">
        <w:rPr>
          <w:szCs w:val="24"/>
        </w:rPr>
        <w:t>The three authorities of Gloucester City</w:t>
      </w:r>
      <w:r w:rsidR="00C33311" w:rsidRPr="005F4AB5">
        <w:rPr>
          <w:szCs w:val="24"/>
        </w:rPr>
        <w:t>, Chelt</w:t>
      </w:r>
      <w:r w:rsidR="00D54E65" w:rsidRPr="005F4AB5">
        <w:rPr>
          <w:szCs w:val="24"/>
        </w:rPr>
        <w:t>enham Borough</w:t>
      </w:r>
      <w:r w:rsidRPr="005F4AB5">
        <w:rPr>
          <w:szCs w:val="24"/>
        </w:rPr>
        <w:t xml:space="preserve"> and Tewkesbury Borough jointly prepared a </w:t>
      </w:r>
      <w:hyperlink r:id="rId13" w:history="1">
        <w:r w:rsidRPr="005F4AB5">
          <w:rPr>
            <w:rStyle w:val="Hyperlink"/>
            <w:color w:val="auto"/>
            <w:szCs w:val="24"/>
          </w:rPr>
          <w:t>J</w:t>
        </w:r>
        <w:r w:rsidR="00B30EFA" w:rsidRPr="005F4AB5">
          <w:rPr>
            <w:rStyle w:val="Hyperlink"/>
            <w:color w:val="auto"/>
            <w:szCs w:val="24"/>
          </w:rPr>
          <w:t>oint Core Strategy (J</w:t>
        </w:r>
        <w:r w:rsidRPr="005F4AB5">
          <w:rPr>
            <w:rStyle w:val="Hyperlink"/>
            <w:color w:val="auto"/>
            <w:szCs w:val="24"/>
          </w:rPr>
          <w:t>CS</w:t>
        </w:r>
      </w:hyperlink>
      <w:r w:rsidR="00B30EFA" w:rsidRPr="005F4AB5">
        <w:rPr>
          <w:rStyle w:val="Hyperlink"/>
          <w:color w:val="auto"/>
          <w:szCs w:val="24"/>
        </w:rPr>
        <w:t>)</w:t>
      </w:r>
      <w:r w:rsidRPr="005F4AB5">
        <w:rPr>
          <w:szCs w:val="24"/>
        </w:rPr>
        <w:t xml:space="preserve"> as part of the development plan for the area</w:t>
      </w:r>
      <w:r w:rsidR="00AB7245" w:rsidRPr="005F4AB5">
        <w:rPr>
          <w:szCs w:val="24"/>
        </w:rPr>
        <w:t xml:space="preserve"> </w:t>
      </w:r>
      <w:r w:rsidR="00FF46F5" w:rsidRPr="005F4AB5">
        <w:rPr>
          <w:szCs w:val="24"/>
        </w:rPr>
        <w:t xml:space="preserve">and this was </w:t>
      </w:r>
      <w:r w:rsidR="00AB7245" w:rsidRPr="005F4AB5">
        <w:rPr>
          <w:szCs w:val="24"/>
        </w:rPr>
        <w:t>adopted in December 2017</w:t>
      </w:r>
      <w:r w:rsidR="00546B15" w:rsidRPr="005F4AB5">
        <w:rPr>
          <w:szCs w:val="24"/>
        </w:rPr>
        <w:t xml:space="preserve">. </w:t>
      </w:r>
      <w:r w:rsidRPr="005F4AB5">
        <w:rPr>
          <w:szCs w:val="24"/>
        </w:rPr>
        <w:t xml:space="preserve">The JCS, which covers the period from 2011 to 2031, is </w:t>
      </w:r>
      <w:r w:rsidR="00FF46F5" w:rsidRPr="005F4AB5">
        <w:rPr>
          <w:szCs w:val="24"/>
        </w:rPr>
        <w:t xml:space="preserve">a </w:t>
      </w:r>
      <w:r w:rsidRPr="005F4AB5">
        <w:rPr>
          <w:szCs w:val="24"/>
        </w:rPr>
        <w:t>strategic-level plan and sets out</w:t>
      </w:r>
      <w:r w:rsidR="00FF46F5" w:rsidRPr="005F4AB5">
        <w:rPr>
          <w:szCs w:val="24"/>
        </w:rPr>
        <w:t>,</w:t>
      </w:r>
      <w:r w:rsidR="00546B15" w:rsidRPr="005F4AB5">
        <w:rPr>
          <w:szCs w:val="24"/>
        </w:rPr>
        <w:t xml:space="preserve"> amongst other aspects</w:t>
      </w:r>
      <w:r w:rsidR="00FF46F5" w:rsidRPr="005F4AB5">
        <w:rPr>
          <w:szCs w:val="24"/>
        </w:rPr>
        <w:t>,</w:t>
      </w:r>
      <w:r w:rsidRPr="005F4AB5">
        <w:rPr>
          <w:szCs w:val="24"/>
        </w:rPr>
        <w:t xml:space="preserve"> the identified needs for housing and economic growth and the spatial strategy for delivery.</w:t>
      </w:r>
      <w:r w:rsidR="00ED644F" w:rsidRPr="005F4AB5">
        <w:rPr>
          <w:szCs w:val="24"/>
        </w:rPr>
        <w:t xml:space="preserve"> </w:t>
      </w:r>
    </w:p>
    <w:p w14:paraId="677FCB85" w14:textId="77777777" w:rsidR="00D074D1" w:rsidRPr="005F4AB5" w:rsidRDefault="00D074D1" w:rsidP="000D58DB">
      <w:pPr>
        <w:pStyle w:val="ListParagraph"/>
        <w:widowControl/>
        <w:autoSpaceDE/>
        <w:autoSpaceDN/>
        <w:spacing w:line="276" w:lineRule="auto"/>
        <w:ind w:left="720" w:firstLine="0"/>
        <w:jc w:val="left"/>
        <w:rPr>
          <w:szCs w:val="24"/>
        </w:rPr>
      </w:pPr>
    </w:p>
    <w:p w14:paraId="063E627D" w14:textId="77777777" w:rsidR="00D074D1" w:rsidRPr="005F4AB5" w:rsidRDefault="00D074D1" w:rsidP="000D58DB">
      <w:pPr>
        <w:pStyle w:val="ListParagraph"/>
        <w:numPr>
          <w:ilvl w:val="1"/>
          <w:numId w:val="7"/>
        </w:numPr>
        <w:tabs>
          <w:tab w:val="left" w:pos="687"/>
        </w:tabs>
        <w:spacing w:before="1" w:line="276" w:lineRule="auto"/>
        <w:ind w:right="137" w:hanging="720"/>
        <w:jc w:val="left"/>
        <w:rPr>
          <w:szCs w:val="24"/>
        </w:rPr>
      </w:pPr>
      <w:r w:rsidRPr="005F4AB5">
        <w:rPr>
          <w:szCs w:val="24"/>
        </w:rPr>
        <w:t>The strategy for housing distribution as set out in the JCS sees growth focused in and</w:t>
      </w:r>
      <w:r w:rsidRPr="005F4AB5">
        <w:rPr>
          <w:spacing w:val="1"/>
          <w:szCs w:val="24"/>
        </w:rPr>
        <w:t xml:space="preserve"> </w:t>
      </w:r>
      <w:r w:rsidRPr="005F4AB5">
        <w:rPr>
          <w:szCs w:val="24"/>
        </w:rPr>
        <w:t>around the urban areas of Cheltenham and Gloucester, with strategic allocations within</w:t>
      </w:r>
      <w:r w:rsidRPr="005F4AB5">
        <w:rPr>
          <w:spacing w:val="1"/>
          <w:szCs w:val="24"/>
        </w:rPr>
        <w:t xml:space="preserve"> </w:t>
      </w:r>
      <w:r w:rsidRPr="005F4AB5">
        <w:rPr>
          <w:szCs w:val="24"/>
        </w:rPr>
        <w:t>the administrative boundary of Tewkesbury Borough to meet the housing needs of</w:t>
      </w:r>
      <w:r w:rsidRPr="005F4AB5">
        <w:rPr>
          <w:spacing w:val="1"/>
          <w:szCs w:val="24"/>
        </w:rPr>
        <w:t xml:space="preserve"> </w:t>
      </w:r>
      <w:r w:rsidRPr="005F4AB5">
        <w:rPr>
          <w:szCs w:val="24"/>
        </w:rPr>
        <w:t>Cheltenham</w:t>
      </w:r>
      <w:r w:rsidRPr="005F4AB5">
        <w:rPr>
          <w:spacing w:val="1"/>
          <w:szCs w:val="24"/>
        </w:rPr>
        <w:t xml:space="preserve"> </w:t>
      </w:r>
      <w:r w:rsidRPr="005F4AB5">
        <w:rPr>
          <w:szCs w:val="24"/>
        </w:rPr>
        <w:t>Borough and</w:t>
      </w:r>
      <w:r w:rsidRPr="005F4AB5">
        <w:rPr>
          <w:spacing w:val="-1"/>
          <w:szCs w:val="24"/>
        </w:rPr>
        <w:t xml:space="preserve"> </w:t>
      </w:r>
      <w:r w:rsidRPr="005F4AB5">
        <w:rPr>
          <w:szCs w:val="24"/>
        </w:rPr>
        <w:t>Gloucester</w:t>
      </w:r>
      <w:r w:rsidRPr="005F4AB5">
        <w:rPr>
          <w:spacing w:val="-1"/>
          <w:szCs w:val="24"/>
        </w:rPr>
        <w:t xml:space="preserve"> </w:t>
      </w:r>
      <w:r w:rsidRPr="005F4AB5">
        <w:rPr>
          <w:szCs w:val="24"/>
        </w:rPr>
        <w:t>City</w:t>
      </w:r>
      <w:r w:rsidRPr="005F4AB5">
        <w:rPr>
          <w:spacing w:val="-2"/>
          <w:szCs w:val="24"/>
        </w:rPr>
        <w:t xml:space="preserve"> </w:t>
      </w:r>
      <w:r w:rsidRPr="005F4AB5">
        <w:rPr>
          <w:szCs w:val="24"/>
        </w:rPr>
        <w:t>respectively.</w:t>
      </w:r>
    </w:p>
    <w:p w14:paraId="26AFCC00" w14:textId="08F9811C" w:rsidR="00E8199A" w:rsidRPr="005F4AB5" w:rsidRDefault="00E8199A">
      <w:pPr>
        <w:rPr>
          <w:szCs w:val="24"/>
        </w:rPr>
      </w:pPr>
      <w:r w:rsidRPr="005F4AB5">
        <w:rPr>
          <w:szCs w:val="24"/>
        </w:rPr>
        <w:br w:type="page"/>
      </w:r>
    </w:p>
    <w:p w14:paraId="2FA2773F" w14:textId="520C9C92" w:rsidR="006D23A2" w:rsidRPr="005F4AB5" w:rsidRDefault="006D23A2" w:rsidP="000D58DB">
      <w:pPr>
        <w:pStyle w:val="ListParagraph"/>
        <w:numPr>
          <w:ilvl w:val="1"/>
          <w:numId w:val="7"/>
        </w:numPr>
        <w:tabs>
          <w:tab w:val="left" w:pos="688"/>
        </w:tabs>
        <w:spacing w:before="1" w:line="276" w:lineRule="auto"/>
        <w:ind w:right="137" w:hanging="720"/>
        <w:jc w:val="left"/>
        <w:rPr>
          <w:szCs w:val="24"/>
        </w:rPr>
      </w:pPr>
      <w:r w:rsidRPr="005F4AB5">
        <w:rPr>
          <w:szCs w:val="24"/>
        </w:rPr>
        <w:lastRenderedPageBreak/>
        <w:t xml:space="preserve">The </w:t>
      </w:r>
      <w:r w:rsidR="00D54E65" w:rsidRPr="005F4AB5">
        <w:rPr>
          <w:szCs w:val="24"/>
        </w:rPr>
        <w:t xml:space="preserve">Gloucester City Plan </w:t>
      </w:r>
      <w:r w:rsidRPr="005F4AB5">
        <w:rPr>
          <w:szCs w:val="24"/>
        </w:rPr>
        <w:t xml:space="preserve">adopted </w:t>
      </w:r>
      <w:r w:rsidR="00D54E65" w:rsidRPr="005F4AB5">
        <w:rPr>
          <w:szCs w:val="24"/>
        </w:rPr>
        <w:t xml:space="preserve">in January </w:t>
      </w:r>
      <w:r w:rsidRPr="005F4AB5">
        <w:rPr>
          <w:szCs w:val="24"/>
        </w:rPr>
        <w:t>202</w:t>
      </w:r>
      <w:r w:rsidR="00D54E65" w:rsidRPr="005F4AB5">
        <w:rPr>
          <w:szCs w:val="24"/>
        </w:rPr>
        <w:t>3</w:t>
      </w:r>
      <w:r w:rsidRPr="005F4AB5">
        <w:rPr>
          <w:szCs w:val="24"/>
        </w:rPr>
        <w:t xml:space="preserve"> allocates</w:t>
      </w:r>
      <w:r w:rsidRPr="005F4AB5">
        <w:rPr>
          <w:spacing w:val="1"/>
          <w:szCs w:val="24"/>
        </w:rPr>
        <w:t xml:space="preserve"> </w:t>
      </w:r>
      <w:r w:rsidRPr="005F4AB5">
        <w:rPr>
          <w:szCs w:val="24"/>
        </w:rPr>
        <w:t>sites</w:t>
      </w:r>
      <w:r w:rsidRPr="005F4AB5">
        <w:rPr>
          <w:spacing w:val="-1"/>
          <w:szCs w:val="24"/>
        </w:rPr>
        <w:t xml:space="preserve"> </w:t>
      </w:r>
      <w:r w:rsidRPr="005F4AB5">
        <w:rPr>
          <w:szCs w:val="24"/>
        </w:rPr>
        <w:t>in accordance</w:t>
      </w:r>
      <w:r w:rsidRPr="005F4AB5">
        <w:rPr>
          <w:spacing w:val="-3"/>
          <w:szCs w:val="24"/>
        </w:rPr>
        <w:t xml:space="preserve"> </w:t>
      </w:r>
      <w:r w:rsidRPr="005F4AB5">
        <w:rPr>
          <w:szCs w:val="24"/>
        </w:rPr>
        <w:t>with</w:t>
      </w:r>
      <w:r w:rsidRPr="005F4AB5">
        <w:rPr>
          <w:spacing w:val="-3"/>
          <w:szCs w:val="24"/>
        </w:rPr>
        <w:t xml:space="preserve"> </w:t>
      </w:r>
      <w:r w:rsidRPr="005F4AB5">
        <w:rPr>
          <w:szCs w:val="24"/>
        </w:rPr>
        <w:t>the</w:t>
      </w:r>
      <w:r w:rsidRPr="005F4AB5">
        <w:rPr>
          <w:spacing w:val="-1"/>
          <w:szCs w:val="24"/>
        </w:rPr>
        <w:t xml:space="preserve"> </w:t>
      </w:r>
      <w:r w:rsidRPr="005F4AB5">
        <w:rPr>
          <w:szCs w:val="24"/>
        </w:rPr>
        <w:t>spatial</w:t>
      </w:r>
      <w:r w:rsidRPr="005F4AB5">
        <w:rPr>
          <w:spacing w:val="-1"/>
          <w:szCs w:val="24"/>
        </w:rPr>
        <w:t xml:space="preserve"> </w:t>
      </w:r>
      <w:r w:rsidRPr="005F4AB5">
        <w:rPr>
          <w:szCs w:val="24"/>
        </w:rPr>
        <w:t>strategy set</w:t>
      </w:r>
      <w:r w:rsidRPr="005F4AB5">
        <w:rPr>
          <w:spacing w:val="1"/>
          <w:szCs w:val="24"/>
        </w:rPr>
        <w:t xml:space="preserve"> </w:t>
      </w:r>
      <w:r w:rsidRPr="005F4AB5">
        <w:rPr>
          <w:szCs w:val="24"/>
        </w:rPr>
        <w:t>out</w:t>
      </w:r>
      <w:r w:rsidRPr="005F4AB5">
        <w:rPr>
          <w:spacing w:val="1"/>
          <w:szCs w:val="24"/>
        </w:rPr>
        <w:t xml:space="preserve"> </w:t>
      </w:r>
      <w:r w:rsidRPr="005F4AB5">
        <w:rPr>
          <w:szCs w:val="24"/>
        </w:rPr>
        <w:t>in</w:t>
      </w:r>
      <w:r w:rsidRPr="005F4AB5">
        <w:rPr>
          <w:spacing w:val="-3"/>
          <w:szCs w:val="24"/>
        </w:rPr>
        <w:t xml:space="preserve"> </w:t>
      </w:r>
      <w:r w:rsidRPr="005F4AB5">
        <w:rPr>
          <w:szCs w:val="24"/>
        </w:rPr>
        <w:t>the</w:t>
      </w:r>
      <w:r w:rsidRPr="005F4AB5">
        <w:rPr>
          <w:spacing w:val="-3"/>
          <w:szCs w:val="24"/>
        </w:rPr>
        <w:t xml:space="preserve"> </w:t>
      </w:r>
      <w:r w:rsidRPr="005F4AB5">
        <w:rPr>
          <w:szCs w:val="24"/>
        </w:rPr>
        <w:t xml:space="preserve">JCS. </w:t>
      </w:r>
      <w:r w:rsidR="006E0070" w:rsidRPr="005F4AB5">
        <w:rPr>
          <w:szCs w:val="24"/>
        </w:rPr>
        <w:t xml:space="preserve">The </w:t>
      </w:r>
      <w:r w:rsidR="00D54E65" w:rsidRPr="005F4AB5">
        <w:rPr>
          <w:szCs w:val="24"/>
        </w:rPr>
        <w:t xml:space="preserve">City Plan </w:t>
      </w:r>
      <w:r w:rsidR="006E0070" w:rsidRPr="005F4AB5">
        <w:rPr>
          <w:szCs w:val="24"/>
        </w:rPr>
        <w:t xml:space="preserve">covers the period from 2011 to 2031 and is used together with the JCS to guide decisions on planning </w:t>
      </w:r>
      <w:r w:rsidR="00FF46F5" w:rsidRPr="005F4AB5">
        <w:rPr>
          <w:szCs w:val="24"/>
        </w:rPr>
        <w:t xml:space="preserve">applications. </w:t>
      </w:r>
      <w:r w:rsidR="006E0070" w:rsidRPr="005F4AB5">
        <w:rPr>
          <w:szCs w:val="24"/>
        </w:rPr>
        <w:t xml:space="preserve"> </w:t>
      </w:r>
    </w:p>
    <w:p w14:paraId="6B4C6A12" w14:textId="77777777" w:rsidR="00AB7245" w:rsidRPr="005F4AB5" w:rsidRDefault="00AB7245" w:rsidP="000D58DB">
      <w:pPr>
        <w:pStyle w:val="ListParagraph"/>
        <w:widowControl/>
        <w:autoSpaceDE/>
        <w:autoSpaceDN/>
        <w:spacing w:line="276" w:lineRule="auto"/>
        <w:ind w:left="720" w:firstLine="0"/>
        <w:jc w:val="left"/>
        <w:rPr>
          <w:szCs w:val="24"/>
        </w:rPr>
      </w:pPr>
    </w:p>
    <w:p w14:paraId="7F6A347F" w14:textId="66EA6E6A" w:rsidR="00B30EFA" w:rsidRPr="005F4AB5" w:rsidRDefault="00B30EFA" w:rsidP="000D58DB">
      <w:pPr>
        <w:pStyle w:val="ListParagraph"/>
        <w:widowControl/>
        <w:numPr>
          <w:ilvl w:val="1"/>
          <w:numId w:val="7"/>
        </w:numPr>
        <w:autoSpaceDE/>
        <w:autoSpaceDN/>
        <w:spacing w:line="276" w:lineRule="auto"/>
        <w:ind w:hanging="720"/>
        <w:jc w:val="left"/>
        <w:rPr>
          <w:szCs w:val="24"/>
        </w:rPr>
      </w:pPr>
      <w:r w:rsidRPr="005F4AB5">
        <w:rPr>
          <w:szCs w:val="24"/>
        </w:rPr>
        <w:t xml:space="preserve">The JCS became 5 years old on 11 December 2022. Paragraph </w:t>
      </w:r>
      <w:r w:rsidR="001943C4" w:rsidRPr="005F4AB5">
        <w:rPr>
          <w:szCs w:val="24"/>
        </w:rPr>
        <w:t>7</w:t>
      </w:r>
      <w:r w:rsidR="006E0070" w:rsidRPr="005F4AB5">
        <w:rPr>
          <w:szCs w:val="24"/>
        </w:rPr>
        <w:t>8</w:t>
      </w:r>
      <w:r w:rsidRPr="005F4AB5">
        <w:rPr>
          <w:szCs w:val="24"/>
        </w:rPr>
        <w:t xml:space="preserve"> of the </w:t>
      </w:r>
      <w:r w:rsidR="004B32F9" w:rsidRPr="005F4AB5">
        <w:rPr>
          <w:szCs w:val="24"/>
        </w:rPr>
        <w:t xml:space="preserve">NPPF </w:t>
      </w:r>
      <w:r w:rsidRPr="005F4AB5">
        <w:rPr>
          <w:szCs w:val="24"/>
        </w:rPr>
        <w:t>sets out that where strategic policies are more than five years old (unless these strategic policies have been reviewed and found not to require updating),</w:t>
      </w:r>
      <w:r w:rsidR="001943C4" w:rsidRPr="005F4AB5">
        <w:rPr>
          <w:szCs w:val="24"/>
        </w:rPr>
        <w:t xml:space="preserve"> </w:t>
      </w:r>
      <w:r w:rsidRPr="005F4AB5">
        <w:rPr>
          <w:szCs w:val="24"/>
        </w:rPr>
        <w:t>local planning authorities should calculate their supply of deliverable sites against their local housing need as calculated using the standard method</w:t>
      </w:r>
      <w:r w:rsidR="006E0070" w:rsidRPr="005F4AB5">
        <w:rPr>
          <w:szCs w:val="24"/>
        </w:rPr>
        <w:t xml:space="preserve"> as set out in national </w:t>
      </w:r>
      <w:r w:rsidR="00304FA1" w:rsidRPr="005F4AB5">
        <w:rPr>
          <w:szCs w:val="24"/>
        </w:rPr>
        <w:t>guidance</w:t>
      </w:r>
      <w:r w:rsidR="00D54E65" w:rsidRPr="005F4AB5">
        <w:rPr>
          <w:szCs w:val="24"/>
        </w:rPr>
        <w:t>.</w:t>
      </w:r>
    </w:p>
    <w:p w14:paraId="286CE2E6" w14:textId="77777777" w:rsidR="00B30EFA" w:rsidRPr="005F4AB5" w:rsidRDefault="00B30EFA" w:rsidP="000D58DB">
      <w:pPr>
        <w:pStyle w:val="ListParagraph"/>
        <w:jc w:val="left"/>
        <w:rPr>
          <w:szCs w:val="24"/>
        </w:rPr>
      </w:pPr>
    </w:p>
    <w:p w14:paraId="744967A5" w14:textId="79AD8C7D" w:rsidR="00B30EFA" w:rsidRPr="005F4AB5" w:rsidRDefault="005C5C5D" w:rsidP="000D58DB">
      <w:pPr>
        <w:pStyle w:val="ListParagraph"/>
        <w:widowControl/>
        <w:numPr>
          <w:ilvl w:val="1"/>
          <w:numId w:val="7"/>
        </w:numPr>
        <w:autoSpaceDE/>
        <w:autoSpaceDN/>
        <w:spacing w:line="276" w:lineRule="auto"/>
        <w:ind w:hanging="720"/>
        <w:jc w:val="left"/>
        <w:rPr>
          <w:szCs w:val="24"/>
        </w:rPr>
      </w:pPr>
      <w:r w:rsidRPr="005F4AB5">
        <w:rPr>
          <w:szCs w:val="24"/>
        </w:rPr>
        <w:t xml:space="preserve">Cheltenham Borough Council, Gloucester City Council and Tewkesbury Borough Council are currently preparing a Cheltenham, Gloucester and Tewkesbury Strategic and Local Plan (SLP), which will replace the JCS in its entirety. Having regard to the NPPF, the three authorities therefore calculate their housing land supply against the local housing need. </w:t>
      </w:r>
    </w:p>
    <w:p w14:paraId="19A1AD89" w14:textId="77777777" w:rsidR="00DF2521" w:rsidRPr="005F4AB5" w:rsidRDefault="00DF2521" w:rsidP="005712CF">
      <w:pPr>
        <w:pStyle w:val="ListParagraph"/>
        <w:rPr>
          <w:szCs w:val="24"/>
        </w:rPr>
      </w:pPr>
    </w:p>
    <w:p w14:paraId="48B317B7" w14:textId="20B74AE6" w:rsidR="00DF2521" w:rsidRPr="005F4AB5" w:rsidRDefault="00DF2521" w:rsidP="000D58DB">
      <w:pPr>
        <w:pStyle w:val="ListParagraph"/>
        <w:widowControl/>
        <w:numPr>
          <w:ilvl w:val="1"/>
          <w:numId w:val="7"/>
        </w:numPr>
        <w:autoSpaceDE/>
        <w:autoSpaceDN/>
        <w:spacing w:line="276" w:lineRule="auto"/>
        <w:ind w:hanging="720"/>
        <w:jc w:val="left"/>
        <w:rPr>
          <w:szCs w:val="24"/>
        </w:rPr>
      </w:pPr>
      <w:r w:rsidRPr="005F4AB5">
        <w:rPr>
          <w:szCs w:val="24"/>
        </w:rPr>
        <w:t xml:space="preserve">An updated </w:t>
      </w:r>
      <w:hyperlink r:id="rId14" w:history="1">
        <w:r w:rsidRPr="005F4AB5">
          <w:rPr>
            <w:rStyle w:val="Hyperlink"/>
            <w:color w:val="auto"/>
            <w:szCs w:val="24"/>
          </w:rPr>
          <w:t>Local Development Scheme (LDS)</w:t>
        </w:r>
      </w:hyperlink>
      <w:r w:rsidRPr="005F4AB5">
        <w:rPr>
          <w:szCs w:val="24"/>
        </w:rPr>
        <w:t xml:space="preserve"> was agreed by all three authorities in February 2025. This committed to a consultation on </w:t>
      </w:r>
      <w:r w:rsidR="00161240" w:rsidRPr="005F4AB5">
        <w:rPr>
          <w:szCs w:val="24"/>
        </w:rPr>
        <w:t xml:space="preserve">a </w:t>
      </w:r>
      <w:r w:rsidRPr="005F4AB5">
        <w:rPr>
          <w:szCs w:val="24"/>
        </w:rPr>
        <w:t xml:space="preserve">pre-submission SLP (Regulation 19) being undertaken in mid-2026 and submission of the SLP to the Secretary of </w:t>
      </w:r>
      <w:r w:rsidR="008C3DAA" w:rsidRPr="005F4AB5">
        <w:rPr>
          <w:szCs w:val="24"/>
        </w:rPr>
        <w:t>State</w:t>
      </w:r>
      <w:r w:rsidRPr="005F4AB5">
        <w:rPr>
          <w:szCs w:val="24"/>
        </w:rPr>
        <w:t xml:space="preserve"> (Regulation 22) by December 2026. </w:t>
      </w:r>
    </w:p>
    <w:p w14:paraId="227C290B" w14:textId="77777777" w:rsidR="00ED3B13" w:rsidRPr="005F4AB5" w:rsidRDefault="00ED3B13" w:rsidP="000D58DB">
      <w:pPr>
        <w:pStyle w:val="ListParagraph"/>
        <w:widowControl/>
        <w:autoSpaceDE/>
        <w:autoSpaceDN/>
        <w:spacing w:line="276" w:lineRule="auto"/>
        <w:ind w:left="720" w:firstLine="0"/>
        <w:jc w:val="left"/>
        <w:rPr>
          <w:szCs w:val="24"/>
        </w:rPr>
      </w:pPr>
    </w:p>
    <w:p w14:paraId="6F481F29" w14:textId="02EB59AF" w:rsidR="002C52F8" w:rsidRPr="005F4AB5" w:rsidRDefault="00451CA5" w:rsidP="0084751A">
      <w:pPr>
        <w:pStyle w:val="Heading2"/>
        <w:ind w:hanging="720"/>
        <w:rPr>
          <w:color w:val="auto"/>
        </w:rPr>
      </w:pPr>
      <w:bookmarkStart w:id="20" w:name="_Toc210303291"/>
      <w:bookmarkStart w:id="21" w:name="_Toc210308082"/>
      <w:r w:rsidRPr="005F4AB5">
        <w:rPr>
          <w:color w:val="auto"/>
        </w:rPr>
        <w:t>T</w:t>
      </w:r>
      <w:r w:rsidR="00960115" w:rsidRPr="005F4AB5">
        <w:rPr>
          <w:color w:val="auto"/>
        </w:rPr>
        <w:t xml:space="preserve">he </w:t>
      </w:r>
      <w:r w:rsidR="00A140A9" w:rsidRPr="005F4AB5">
        <w:rPr>
          <w:color w:val="auto"/>
        </w:rPr>
        <w:t>S</w:t>
      </w:r>
      <w:r w:rsidR="00960115" w:rsidRPr="005F4AB5">
        <w:rPr>
          <w:color w:val="auto"/>
        </w:rPr>
        <w:t xml:space="preserve">tandard </w:t>
      </w:r>
      <w:r w:rsidR="00A140A9" w:rsidRPr="005F4AB5">
        <w:rPr>
          <w:color w:val="auto"/>
        </w:rPr>
        <w:t>M</w:t>
      </w:r>
      <w:r w:rsidR="00960115" w:rsidRPr="005F4AB5">
        <w:rPr>
          <w:color w:val="auto"/>
        </w:rPr>
        <w:t>ethod</w:t>
      </w:r>
      <w:bookmarkEnd w:id="20"/>
      <w:bookmarkEnd w:id="21"/>
      <w:r w:rsidR="00960115" w:rsidRPr="005F4AB5">
        <w:rPr>
          <w:color w:val="auto"/>
        </w:rPr>
        <w:t xml:space="preserve"> </w:t>
      </w:r>
    </w:p>
    <w:p w14:paraId="189FA1F6" w14:textId="0731E10D" w:rsidR="00B30EFA" w:rsidRPr="005F4AB5" w:rsidRDefault="00B30EFA" w:rsidP="004948B3">
      <w:pPr>
        <w:pStyle w:val="ListParagraph"/>
        <w:widowControl/>
        <w:numPr>
          <w:ilvl w:val="1"/>
          <w:numId w:val="7"/>
        </w:numPr>
        <w:autoSpaceDE/>
        <w:autoSpaceDN/>
        <w:spacing w:line="276" w:lineRule="auto"/>
        <w:ind w:hanging="720"/>
        <w:rPr>
          <w:szCs w:val="24"/>
        </w:rPr>
      </w:pPr>
      <w:r w:rsidRPr="005F4AB5">
        <w:rPr>
          <w:szCs w:val="24"/>
        </w:rPr>
        <w:t xml:space="preserve">The standard method, set out in the </w:t>
      </w:r>
      <w:hyperlink r:id="rId15" w:history="1">
        <w:r w:rsidR="000E0F69" w:rsidRPr="005F4AB5">
          <w:rPr>
            <w:rStyle w:val="Hyperlink"/>
            <w:color w:val="auto"/>
            <w:szCs w:val="24"/>
          </w:rPr>
          <w:t>Planning Practice</w:t>
        </w:r>
        <w:r w:rsidR="00304FA1" w:rsidRPr="005F4AB5">
          <w:rPr>
            <w:rStyle w:val="Hyperlink"/>
            <w:color w:val="auto"/>
            <w:szCs w:val="24"/>
          </w:rPr>
          <w:t xml:space="preserve"> Guidance (PPG) under the heading of ‘Housing and economic needs assessment’</w:t>
        </w:r>
        <w:r w:rsidR="001F09B4" w:rsidRPr="005F4AB5">
          <w:rPr>
            <w:rStyle w:val="Hyperlink"/>
            <w:color w:val="auto"/>
            <w:szCs w:val="24"/>
          </w:rPr>
          <w:t xml:space="preserve"> including Paragraph 004 Reference ID: 2a-004-20241212</w:t>
        </w:r>
        <w:r w:rsidR="00304FA1" w:rsidRPr="005F4AB5">
          <w:rPr>
            <w:rStyle w:val="Hyperlink"/>
            <w:color w:val="auto"/>
            <w:szCs w:val="24"/>
          </w:rPr>
          <w:t xml:space="preserve"> </w:t>
        </w:r>
      </w:hyperlink>
      <w:r w:rsidRPr="005F4AB5">
        <w:rPr>
          <w:szCs w:val="24"/>
        </w:rPr>
        <w:t xml:space="preserve">uses a formula to identify the minimum number of houses expected to be planned for by a local authority (annual local housing need or ‘LHN’). This figure is calculated using </w:t>
      </w:r>
      <w:r w:rsidR="00594EB6" w:rsidRPr="005F4AB5">
        <w:rPr>
          <w:szCs w:val="24"/>
        </w:rPr>
        <w:t xml:space="preserve">the </w:t>
      </w:r>
      <w:r w:rsidR="00161240" w:rsidRPr="005F4AB5">
        <w:rPr>
          <w:szCs w:val="24"/>
        </w:rPr>
        <w:t xml:space="preserve">amount </w:t>
      </w:r>
      <w:r w:rsidR="00594EB6" w:rsidRPr="005F4AB5">
        <w:rPr>
          <w:szCs w:val="24"/>
        </w:rPr>
        <w:t xml:space="preserve">of the existing housing stock of the area </w:t>
      </w:r>
      <w:r w:rsidRPr="005F4AB5">
        <w:rPr>
          <w:szCs w:val="24"/>
        </w:rPr>
        <w:t xml:space="preserve">adjusted to account for local affordability. </w:t>
      </w:r>
    </w:p>
    <w:p w14:paraId="1E5D6FDF" w14:textId="77777777" w:rsidR="00F05372" w:rsidRPr="005F4AB5" w:rsidRDefault="00F05372" w:rsidP="000D58DB">
      <w:pPr>
        <w:pStyle w:val="ListParagraph"/>
        <w:widowControl/>
        <w:autoSpaceDE/>
        <w:autoSpaceDN/>
        <w:spacing w:line="276" w:lineRule="auto"/>
        <w:ind w:left="720" w:firstLine="0"/>
        <w:jc w:val="left"/>
        <w:rPr>
          <w:szCs w:val="24"/>
        </w:rPr>
      </w:pPr>
    </w:p>
    <w:p w14:paraId="3F1515F0" w14:textId="24900DA0" w:rsidR="00B30EFA" w:rsidRPr="005F4AB5" w:rsidRDefault="00B30EFA" w:rsidP="000D58DB">
      <w:pPr>
        <w:pStyle w:val="ListParagraph"/>
        <w:widowControl/>
        <w:numPr>
          <w:ilvl w:val="1"/>
          <w:numId w:val="7"/>
        </w:numPr>
        <w:autoSpaceDE/>
        <w:autoSpaceDN/>
        <w:spacing w:after="120" w:line="276" w:lineRule="auto"/>
        <w:ind w:hanging="720"/>
        <w:jc w:val="left"/>
        <w:rPr>
          <w:szCs w:val="24"/>
        </w:rPr>
      </w:pPr>
      <w:r w:rsidRPr="005F4AB5">
        <w:rPr>
          <w:szCs w:val="24"/>
        </w:rPr>
        <w:t xml:space="preserve">The standard method sets out that the minimum LHN </w:t>
      </w:r>
      <w:r w:rsidR="00AB7245" w:rsidRPr="005F4AB5">
        <w:rPr>
          <w:szCs w:val="24"/>
        </w:rPr>
        <w:t xml:space="preserve">for </w:t>
      </w:r>
      <w:r w:rsidR="00801325" w:rsidRPr="005F4AB5">
        <w:rPr>
          <w:szCs w:val="24"/>
        </w:rPr>
        <w:t xml:space="preserve">Gloucester City </w:t>
      </w:r>
      <w:r w:rsidRPr="005F4AB5">
        <w:rPr>
          <w:szCs w:val="24"/>
        </w:rPr>
        <w:t xml:space="preserve">is </w:t>
      </w:r>
      <w:r w:rsidR="00FF46F5" w:rsidRPr="005F4AB5">
        <w:rPr>
          <w:szCs w:val="24"/>
        </w:rPr>
        <w:t xml:space="preserve">currently </w:t>
      </w:r>
      <w:r w:rsidR="00801325" w:rsidRPr="005F4AB5">
        <w:rPr>
          <w:b/>
          <w:bCs/>
          <w:szCs w:val="24"/>
        </w:rPr>
        <w:t>700</w:t>
      </w:r>
      <w:r w:rsidR="004948B3" w:rsidRPr="005F4AB5">
        <w:rPr>
          <w:b/>
          <w:bCs/>
          <w:szCs w:val="24"/>
        </w:rPr>
        <w:t xml:space="preserve"> </w:t>
      </w:r>
      <w:r w:rsidRPr="005F4AB5">
        <w:rPr>
          <w:b/>
          <w:bCs/>
          <w:szCs w:val="24"/>
        </w:rPr>
        <w:t>dwellings per annum</w:t>
      </w:r>
      <w:r w:rsidRPr="005F4AB5">
        <w:rPr>
          <w:szCs w:val="24"/>
        </w:rPr>
        <w:t xml:space="preserve">. </w:t>
      </w:r>
      <w:r w:rsidR="00801325" w:rsidRPr="005F4AB5">
        <w:rPr>
          <w:szCs w:val="24"/>
        </w:rPr>
        <w:t xml:space="preserve">Gloucester City Council </w:t>
      </w:r>
      <w:r w:rsidRPr="005F4AB5">
        <w:rPr>
          <w:szCs w:val="24"/>
        </w:rPr>
        <w:t xml:space="preserve">consider this minimum housing need to be the most up to date and robust figure on which to base the five-year housing land supply calculation. The various steps in calculating the LHN can be seen in </w:t>
      </w:r>
      <w:r w:rsidRPr="005F4AB5">
        <w:rPr>
          <w:b/>
          <w:bCs/>
          <w:szCs w:val="24"/>
        </w:rPr>
        <w:fldChar w:fldCharType="begin"/>
      </w:r>
      <w:r w:rsidRPr="005F4AB5">
        <w:rPr>
          <w:b/>
          <w:bCs/>
          <w:szCs w:val="24"/>
        </w:rPr>
        <w:instrText xml:space="preserve"> REF _Ref135662166 \h  \* MERGEFORMAT </w:instrText>
      </w:r>
      <w:r w:rsidRPr="005F4AB5">
        <w:rPr>
          <w:b/>
          <w:bCs/>
          <w:szCs w:val="24"/>
        </w:rPr>
      </w:r>
      <w:r w:rsidRPr="005F4AB5">
        <w:rPr>
          <w:b/>
          <w:bCs/>
          <w:szCs w:val="24"/>
        </w:rPr>
        <w:fldChar w:fldCharType="separate"/>
      </w:r>
      <w:r w:rsidR="00033F80" w:rsidRPr="00033F80">
        <w:rPr>
          <w:b/>
          <w:bCs/>
          <w:szCs w:val="24"/>
        </w:rPr>
        <w:t>Appendix 1</w:t>
      </w:r>
      <w:r w:rsidR="00033F80" w:rsidRPr="00033F80">
        <w:rPr>
          <w:rFonts w:asciiTheme="minorHAnsi" w:eastAsiaTheme="minorEastAsia" w:hAnsiTheme="minorHAnsi" w:cstheme="minorHAnsi"/>
          <w:b/>
          <w:bCs/>
          <w:szCs w:val="24"/>
          <w:lang w:eastAsia="ja-JP"/>
        </w:rPr>
        <w:t xml:space="preserve">: </w:t>
      </w:r>
      <w:r w:rsidR="00033F80" w:rsidRPr="00033F80">
        <w:rPr>
          <w:rFonts w:asciiTheme="minorHAnsi" w:eastAsiaTheme="minorEastAsia" w:hAnsiTheme="minorHAnsi" w:cstheme="minorHAnsi"/>
          <w:szCs w:val="24"/>
          <w:lang w:eastAsia="ja-JP"/>
        </w:rPr>
        <w:t>Standard method calculation</w:t>
      </w:r>
      <w:r w:rsidR="00033F80" w:rsidRPr="005F4AB5">
        <w:t xml:space="preserve"> </w:t>
      </w:r>
      <w:r w:rsidRPr="005F4AB5">
        <w:rPr>
          <w:b/>
          <w:bCs/>
          <w:szCs w:val="24"/>
        </w:rPr>
        <w:fldChar w:fldCharType="end"/>
      </w:r>
      <w:r w:rsidRPr="005F4AB5">
        <w:rPr>
          <w:szCs w:val="24"/>
        </w:rPr>
        <w:t xml:space="preserve">. </w:t>
      </w:r>
    </w:p>
    <w:p w14:paraId="159BD0A6" w14:textId="77777777" w:rsidR="004F32C6" w:rsidRPr="005F4AB5" w:rsidRDefault="004F32C6" w:rsidP="000D58DB">
      <w:pPr>
        <w:rPr>
          <w:szCs w:val="24"/>
        </w:rPr>
      </w:pPr>
    </w:p>
    <w:p w14:paraId="338F0F5D" w14:textId="447BC94F" w:rsidR="00865B58" w:rsidRPr="005F4AB5" w:rsidRDefault="001579C1" w:rsidP="0084751A">
      <w:pPr>
        <w:pStyle w:val="Heading2"/>
        <w:ind w:hanging="720"/>
        <w:rPr>
          <w:color w:val="auto"/>
        </w:rPr>
      </w:pPr>
      <w:bookmarkStart w:id="22" w:name="_Toc210303292"/>
      <w:bookmarkStart w:id="23" w:name="_Toc210308083"/>
      <w:r w:rsidRPr="005F4AB5">
        <w:rPr>
          <w:color w:val="auto"/>
        </w:rPr>
        <w:t>P</w:t>
      </w:r>
      <w:r w:rsidR="00960115" w:rsidRPr="005F4AB5">
        <w:rPr>
          <w:color w:val="auto"/>
        </w:rPr>
        <w:t>revious delivery</w:t>
      </w:r>
      <w:bookmarkEnd w:id="22"/>
      <w:bookmarkEnd w:id="23"/>
      <w:r w:rsidR="00960115" w:rsidRPr="005F4AB5">
        <w:rPr>
          <w:color w:val="auto"/>
        </w:rPr>
        <w:t xml:space="preserve"> </w:t>
      </w:r>
    </w:p>
    <w:bookmarkStart w:id="24" w:name="_Hlk173154903"/>
    <w:p w14:paraId="5DCA75D4" w14:textId="4EF3DC5B" w:rsidR="00F4237C" w:rsidRPr="005F4AB5" w:rsidRDefault="004314EA" w:rsidP="000D58DB">
      <w:pPr>
        <w:pStyle w:val="ListParagraph"/>
        <w:widowControl/>
        <w:numPr>
          <w:ilvl w:val="1"/>
          <w:numId w:val="7"/>
        </w:numPr>
        <w:autoSpaceDE/>
        <w:autoSpaceDN/>
        <w:spacing w:line="276" w:lineRule="auto"/>
        <w:ind w:hanging="720"/>
        <w:jc w:val="left"/>
        <w:rPr>
          <w:rFonts w:asciiTheme="minorHAnsi" w:hAnsiTheme="minorHAnsi" w:cstheme="minorHAnsi"/>
          <w:szCs w:val="24"/>
        </w:rPr>
      </w:pPr>
      <w:r w:rsidRPr="005F4AB5">
        <w:rPr>
          <w:sz w:val="22"/>
        </w:rPr>
        <w:fldChar w:fldCharType="begin"/>
      </w:r>
      <w:r w:rsidRPr="005F4AB5">
        <w:instrText>HYPERLINK "https://www.gov.uk/guidance/housing-supply-and-delivery"</w:instrText>
      </w:r>
      <w:r w:rsidRPr="005F4AB5">
        <w:rPr>
          <w:sz w:val="22"/>
        </w:rPr>
      </w:r>
      <w:r w:rsidRPr="005F4AB5">
        <w:rPr>
          <w:sz w:val="22"/>
        </w:rPr>
        <w:fldChar w:fldCharType="separate"/>
      </w:r>
      <w:r w:rsidR="00F4237C" w:rsidRPr="005F4AB5">
        <w:rPr>
          <w:rStyle w:val="Hyperlink"/>
          <w:color w:val="auto"/>
          <w:szCs w:val="24"/>
        </w:rPr>
        <w:t>Paragraph 0</w:t>
      </w:r>
      <w:r w:rsidR="00915F1B" w:rsidRPr="005F4AB5">
        <w:rPr>
          <w:rStyle w:val="Hyperlink"/>
          <w:color w:val="auto"/>
          <w:szCs w:val="24"/>
        </w:rPr>
        <w:t>22</w:t>
      </w:r>
      <w:r w:rsidR="00F4237C" w:rsidRPr="005F4AB5">
        <w:rPr>
          <w:rStyle w:val="Hyperlink"/>
          <w:color w:val="auto"/>
          <w:szCs w:val="24"/>
        </w:rPr>
        <w:t xml:space="preserve"> Reference ID: 68-031-20190722 </w:t>
      </w:r>
      <w:r w:rsidR="008A765C" w:rsidRPr="005F4AB5">
        <w:rPr>
          <w:rStyle w:val="Hyperlink"/>
          <w:color w:val="auto"/>
          <w:szCs w:val="24"/>
        </w:rPr>
        <w:t xml:space="preserve">under the heading of ‘Housing supply and delivery’ </w:t>
      </w:r>
      <w:r w:rsidR="00F4237C" w:rsidRPr="005F4AB5">
        <w:rPr>
          <w:rStyle w:val="Hyperlink"/>
          <w:color w:val="auto"/>
          <w:szCs w:val="24"/>
        </w:rPr>
        <w:t>of the PPG</w:t>
      </w:r>
      <w:r w:rsidRPr="005F4AB5">
        <w:rPr>
          <w:rStyle w:val="Hyperlink"/>
          <w:color w:val="auto"/>
          <w:szCs w:val="24"/>
        </w:rPr>
        <w:fldChar w:fldCharType="end"/>
      </w:r>
      <w:r w:rsidR="00F4237C" w:rsidRPr="005F4AB5">
        <w:rPr>
          <w:szCs w:val="24"/>
        </w:rPr>
        <w:t xml:space="preserve"> states </w:t>
      </w:r>
      <w:r w:rsidR="00F4237C" w:rsidRPr="005F4AB5">
        <w:rPr>
          <w:i/>
          <w:szCs w:val="24"/>
        </w:rPr>
        <w:t xml:space="preserve">“…Where the standard method for assessing local housing need is used as the starting point in forming the planned requirement for housing, Step 2 of the standard method factors in past under-delivery as part of the affordability ratio, so there is no requirement to specifically address under-delivery separately when establishing the minimum annual local housing need figure. Under-delivery may need to be considered where the plan being prepared is part way through its proposed plan period, and delivery falls </w:t>
      </w:r>
      <w:r w:rsidR="00F4237C" w:rsidRPr="005F4AB5">
        <w:rPr>
          <w:i/>
          <w:szCs w:val="24"/>
        </w:rPr>
        <w:lastRenderedPageBreak/>
        <w:t xml:space="preserve">below the housing requirement level set out in the emerging relevant strategic policies for </w:t>
      </w:r>
      <w:r w:rsidR="008C3DAA" w:rsidRPr="005F4AB5">
        <w:rPr>
          <w:i/>
          <w:szCs w:val="24"/>
        </w:rPr>
        <w:t>housing</w:t>
      </w:r>
      <w:r w:rsidR="00161240" w:rsidRPr="005F4AB5">
        <w:rPr>
          <w:i/>
          <w:szCs w:val="24"/>
        </w:rPr>
        <w:t>…</w:t>
      </w:r>
      <w:r w:rsidR="008C3DAA" w:rsidRPr="005F4AB5">
        <w:rPr>
          <w:i/>
          <w:szCs w:val="24"/>
        </w:rPr>
        <w:t>”</w:t>
      </w:r>
      <w:r w:rsidR="00F4237C" w:rsidRPr="005F4AB5">
        <w:rPr>
          <w:szCs w:val="24"/>
        </w:rPr>
        <w:t xml:space="preserve"> </w:t>
      </w:r>
    </w:p>
    <w:p w14:paraId="6D07CA24" w14:textId="77777777" w:rsidR="005840EA" w:rsidRPr="005F4AB5" w:rsidRDefault="005840EA" w:rsidP="000D58DB">
      <w:pPr>
        <w:pStyle w:val="ListParagraph"/>
        <w:widowControl/>
        <w:autoSpaceDE/>
        <w:autoSpaceDN/>
        <w:spacing w:line="276" w:lineRule="auto"/>
        <w:ind w:left="720" w:firstLine="0"/>
        <w:jc w:val="left"/>
        <w:rPr>
          <w:szCs w:val="24"/>
        </w:rPr>
      </w:pPr>
    </w:p>
    <w:p w14:paraId="72D8C234" w14:textId="78EA6D44" w:rsidR="00542ABF" w:rsidRPr="005F4AB5" w:rsidRDefault="00F4237C" w:rsidP="000D58DB">
      <w:pPr>
        <w:pStyle w:val="ListParagraph"/>
        <w:widowControl/>
        <w:numPr>
          <w:ilvl w:val="1"/>
          <w:numId w:val="7"/>
        </w:numPr>
        <w:autoSpaceDE/>
        <w:autoSpaceDN/>
        <w:spacing w:line="276" w:lineRule="auto"/>
        <w:ind w:hanging="720"/>
        <w:jc w:val="left"/>
        <w:rPr>
          <w:rFonts w:eastAsiaTheme="minorHAnsi"/>
          <w:iCs/>
          <w:szCs w:val="24"/>
          <w:lang w:val="en-GB"/>
        </w:rPr>
      </w:pPr>
      <w:r w:rsidRPr="005F4AB5">
        <w:rPr>
          <w:szCs w:val="24"/>
        </w:rPr>
        <w:t xml:space="preserve">Accordingly, with reference to paragraph </w:t>
      </w:r>
      <w:r w:rsidR="00C877D4" w:rsidRPr="005F4AB5">
        <w:rPr>
          <w:szCs w:val="24"/>
        </w:rPr>
        <w:t xml:space="preserve">022 </w:t>
      </w:r>
      <w:r w:rsidRPr="005F4AB5">
        <w:rPr>
          <w:szCs w:val="24"/>
        </w:rPr>
        <w:t xml:space="preserve">Reference ID: 68-031-20190722 of the PPG, the application of an ‘affordability ratio’ within </w:t>
      </w:r>
      <w:r w:rsidR="00AB7245" w:rsidRPr="005F4AB5">
        <w:rPr>
          <w:szCs w:val="24"/>
        </w:rPr>
        <w:t>the</w:t>
      </w:r>
      <w:r w:rsidRPr="005F4AB5">
        <w:rPr>
          <w:szCs w:val="24"/>
        </w:rPr>
        <w:t xml:space="preserve"> local housing need calculation accounts for any past under-delivery up to the date of the calculation. </w:t>
      </w:r>
      <w:r w:rsidR="0093290B" w:rsidRPr="005F4AB5">
        <w:rPr>
          <w:szCs w:val="24"/>
        </w:rPr>
        <w:t xml:space="preserve">Under the government standard method for calculating housing need it is not necessary to factor in previous levels of under delivery into the calculation of </w:t>
      </w:r>
      <w:r w:rsidR="00743672" w:rsidRPr="005F4AB5">
        <w:rPr>
          <w:szCs w:val="24"/>
        </w:rPr>
        <w:t xml:space="preserve">local housing need, </w:t>
      </w:r>
      <w:r w:rsidR="0093290B" w:rsidRPr="005F4AB5">
        <w:rPr>
          <w:szCs w:val="24"/>
        </w:rPr>
        <w:t xml:space="preserve">since any such under delivery will be reflected in the affordability adjustment. </w:t>
      </w:r>
      <w:bookmarkStart w:id="25" w:name="_Ref119591382"/>
      <w:bookmarkStart w:id="26" w:name="_Ref121207046"/>
    </w:p>
    <w:p w14:paraId="7D7420FE" w14:textId="77777777" w:rsidR="00F15881" w:rsidRPr="005F4AB5" w:rsidRDefault="00F15881" w:rsidP="000D58DB">
      <w:pPr>
        <w:pStyle w:val="ListParagraph"/>
        <w:jc w:val="left"/>
        <w:rPr>
          <w:rFonts w:eastAsiaTheme="minorHAnsi"/>
          <w:iCs/>
          <w:szCs w:val="24"/>
          <w:lang w:val="en-GB"/>
        </w:rPr>
      </w:pPr>
    </w:p>
    <w:p w14:paraId="42C93D94" w14:textId="023BEAAD" w:rsidR="00E8199A" w:rsidRPr="005F4AB5" w:rsidRDefault="00F15881" w:rsidP="00E8199A">
      <w:pPr>
        <w:pStyle w:val="ListParagraph"/>
        <w:widowControl/>
        <w:numPr>
          <w:ilvl w:val="1"/>
          <w:numId w:val="7"/>
        </w:numPr>
        <w:autoSpaceDE/>
        <w:autoSpaceDN/>
        <w:spacing w:line="276" w:lineRule="auto"/>
        <w:ind w:hanging="720"/>
        <w:jc w:val="left"/>
        <w:rPr>
          <w:rFonts w:eastAsiaTheme="minorHAnsi"/>
          <w:iCs/>
          <w:szCs w:val="24"/>
          <w:lang w:val="en-GB"/>
        </w:rPr>
      </w:pPr>
      <w:r w:rsidRPr="005F4AB5">
        <w:rPr>
          <w:rFonts w:eastAsiaTheme="minorHAnsi"/>
          <w:iCs/>
          <w:szCs w:val="24"/>
          <w:lang w:val="en-GB"/>
        </w:rPr>
        <w:t xml:space="preserve">Notwithstanding the above, </w:t>
      </w:r>
      <w:r w:rsidR="002F0771" w:rsidRPr="005F4AB5">
        <w:rPr>
          <w:rFonts w:eastAsiaTheme="minorHAnsi"/>
          <w:b/>
          <w:bCs/>
          <w:iCs/>
          <w:szCs w:val="24"/>
          <w:lang w:val="en-GB"/>
        </w:rPr>
        <w:t>Figure 1</w:t>
      </w:r>
      <w:r w:rsidR="002F0771" w:rsidRPr="005F4AB5">
        <w:rPr>
          <w:rFonts w:eastAsiaTheme="minorHAnsi"/>
          <w:iCs/>
          <w:szCs w:val="24"/>
          <w:lang w:val="en-GB"/>
        </w:rPr>
        <w:t xml:space="preserve"> </w:t>
      </w:r>
      <w:r w:rsidRPr="005F4AB5">
        <w:rPr>
          <w:rFonts w:eastAsiaTheme="minorHAnsi"/>
          <w:iCs/>
          <w:szCs w:val="24"/>
          <w:lang w:val="en-GB"/>
        </w:rPr>
        <w:t xml:space="preserve">shows previous housing completions in </w:t>
      </w:r>
      <w:r w:rsidR="00801325" w:rsidRPr="005F4AB5">
        <w:rPr>
          <w:rFonts w:eastAsiaTheme="minorHAnsi"/>
          <w:iCs/>
          <w:szCs w:val="24"/>
          <w:lang w:val="en-GB"/>
        </w:rPr>
        <w:t xml:space="preserve">Gloucester City </w:t>
      </w:r>
      <w:r w:rsidR="00AB08E1" w:rsidRPr="005F4AB5">
        <w:rPr>
          <w:rFonts w:eastAsiaTheme="minorHAnsi"/>
          <w:iCs/>
          <w:szCs w:val="24"/>
          <w:lang w:val="en-GB"/>
        </w:rPr>
        <w:t xml:space="preserve">and in JCS Allocations in Tewkesbury Borough meeting Gloucester’s need </w:t>
      </w:r>
      <w:r w:rsidRPr="005F4AB5">
        <w:rPr>
          <w:rFonts w:eastAsiaTheme="minorHAnsi"/>
          <w:iCs/>
          <w:szCs w:val="24"/>
          <w:lang w:val="en-GB"/>
        </w:rPr>
        <w:t>from</w:t>
      </w:r>
      <w:r w:rsidR="004864FB" w:rsidRPr="005F4AB5">
        <w:rPr>
          <w:rFonts w:eastAsiaTheme="minorHAnsi"/>
          <w:iCs/>
          <w:szCs w:val="24"/>
          <w:lang w:val="en-GB"/>
        </w:rPr>
        <w:t xml:space="preserve"> 1</w:t>
      </w:r>
      <w:r w:rsidR="004864FB" w:rsidRPr="005F4AB5">
        <w:rPr>
          <w:rFonts w:eastAsiaTheme="minorHAnsi"/>
          <w:iCs/>
          <w:szCs w:val="24"/>
          <w:vertAlign w:val="superscript"/>
          <w:lang w:val="en-GB"/>
        </w:rPr>
        <w:t>st</w:t>
      </w:r>
      <w:r w:rsidR="004864FB" w:rsidRPr="005F4AB5">
        <w:rPr>
          <w:rFonts w:eastAsiaTheme="minorHAnsi"/>
          <w:iCs/>
          <w:szCs w:val="24"/>
          <w:lang w:val="en-GB"/>
        </w:rPr>
        <w:t xml:space="preserve"> April 2011 </w:t>
      </w:r>
      <w:r w:rsidRPr="005F4AB5">
        <w:rPr>
          <w:rFonts w:eastAsiaTheme="minorHAnsi"/>
          <w:iCs/>
          <w:szCs w:val="24"/>
          <w:lang w:val="en-GB"/>
        </w:rPr>
        <w:t>to 31</w:t>
      </w:r>
      <w:r w:rsidRPr="005F4AB5">
        <w:rPr>
          <w:rFonts w:eastAsiaTheme="minorHAnsi"/>
          <w:iCs/>
          <w:szCs w:val="24"/>
          <w:vertAlign w:val="superscript"/>
          <w:lang w:val="en-GB"/>
        </w:rPr>
        <w:t>st</w:t>
      </w:r>
      <w:r w:rsidRPr="005F4AB5">
        <w:rPr>
          <w:rFonts w:eastAsiaTheme="minorHAnsi"/>
          <w:iCs/>
          <w:szCs w:val="24"/>
          <w:lang w:val="en-GB"/>
        </w:rPr>
        <w:t xml:space="preserve"> March 202</w:t>
      </w:r>
      <w:r w:rsidR="00F74820" w:rsidRPr="005F4AB5">
        <w:rPr>
          <w:rFonts w:eastAsiaTheme="minorHAnsi"/>
          <w:iCs/>
          <w:szCs w:val="24"/>
          <w:lang w:val="en-GB"/>
        </w:rPr>
        <w:t>5</w:t>
      </w:r>
      <w:r w:rsidRPr="005F4AB5">
        <w:rPr>
          <w:rFonts w:eastAsiaTheme="minorHAnsi"/>
          <w:iCs/>
          <w:szCs w:val="24"/>
          <w:lang w:val="en-GB"/>
        </w:rPr>
        <w:t xml:space="preserve">. </w:t>
      </w:r>
    </w:p>
    <w:bookmarkEnd w:id="24"/>
    <w:p w14:paraId="3769F882" w14:textId="77777777" w:rsidR="00542ABF" w:rsidRPr="005F4AB5" w:rsidRDefault="00542ABF" w:rsidP="000D58DB">
      <w:pPr>
        <w:pStyle w:val="ListParagraph"/>
        <w:jc w:val="left"/>
        <w:rPr>
          <w:rFonts w:eastAsiaTheme="minorHAnsi"/>
          <w:iCs/>
          <w:szCs w:val="24"/>
          <w:lang w:val="en-GB"/>
        </w:rPr>
      </w:pPr>
    </w:p>
    <w:p w14:paraId="46C6FE63" w14:textId="264F29D8" w:rsidR="00F15881" w:rsidRPr="005F4AB5" w:rsidRDefault="0020780A" w:rsidP="000D58DB">
      <w:pPr>
        <w:widowControl/>
        <w:autoSpaceDE/>
        <w:autoSpaceDN/>
        <w:ind w:left="705"/>
        <w:textAlignment w:val="baseline"/>
        <w:rPr>
          <w:rFonts w:ascii="Arial MT" w:eastAsia="Times New Roman" w:hAnsi="Arial MT" w:cs="Segoe UI"/>
          <w:lang w:val="en-GB" w:eastAsia="en-GB"/>
        </w:rPr>
      </w:pPr>
      <w:bookmarkStart w:id="27" w:name="_Ref177986880"/>
      <w:bookmarkStart w:id="28" w:name="_Toc208233931"/>
      <w:r w:rsidRPr="005F4AB5">
        <w:rPr>
          <w:b/>
          <w:bCs/>
          <w:szCs w:val="24"/>
        </w:rPr>
        <w:t xml:space="preserve">Figure </w:t>
      </w:r>
      <w:r w:rsidRPr="005F4AB5">
        <w:rPr>
          <w:b/>
          <w:bCs/>
          <w:i/>
          <w:szCs w:val="24"/>
        </w:rPr>
        <w:fldChar w:fldCharType="begin"/>
      </w:r>
      <w:r w:rsidRPr="005F4AB5">
        <w:rPr>
          <w:b/>
          <w:bCs/>
          <w:szCs w:val="24"/>
        </w:rPr>
        <w:instrText xml:space="preserve"> SEQ Figure \* ARABIC </w:instrText>
      </w:r>
      <w:r w:rsidRPr="005F4AB5">
        <w:rPr>
          <w:b/>
          <w:bCs/>
          <w:i/>
          <w:szCs w:val="24"/>
        </w:rPr>
        <w:fldChar w:fldCharType="separate"/>
      </w:r>
      <w:r w:rsidR="00033F80">
        <w:rPr>
          <w:b/>
          <w:bCs/>
          <w:noProof/>
          <w:szCs w:val="24"/>
        </w:rPr>
        <w:t>1</w:t>
      </w:r>
      <w:r w:rsidRPr="005F4AB5">
        <w:rPr>
          <w:b/>
          <w:bCs/>
          <w:i/>
          <w:szCs w:val="24"/>
        </w:rPr>
        <w:fldChar w:fldCharType="end"/>
      </w:r>
      <w:bookmarkEnd w:id="27"/>
      <w:r w:rsidRPr="005F4AB5">
        <w:rPr>
          <w:b/>
          <w:bCs/>
          <w:szCs w:val="24"/>
        </w:rPr>
        <w:t xml:space="preserve">: Previous </w:t>
      </w:r>
      <w:r w:rsidR="00960115" w:rsidRPr="005F4AB5">
        <w:rPr>
          <w:b/>
          <w:bCs/>
          <w:szCs w:val="24"/>
        </w:rPr>
        <w:t>h</w:t>
      </w:r>
      <w:r w:rsidRPr="005F4AB5">
        <w:rPr>
          <w:b/>
          <w:bCs/>
          <w:szCs w:val="24"/>
        </w:rPr>
        <w:t xml:space="preserve">ousing </w:t>
      </w:r>
      <w:r w:rsidR="00960115" w:rsidRPr="005F4AB5">
        <w:rPr>
          <w:b/>
          <w:bCs/>
          <w:szCs w:val="24"/>
        </w:rPr>
        <w:t>c</w:t>
      </w:r>
      <w:r w:rsidRPr="005F4AB5">
        <w:rPr>
          <w:b/>
          <w:bCs/>
          <w:szCs w:val="24"/>
        </w:rPr>
        <w:t>ompletions</w:t>
      </w:r>
      <w:bookmarkEnd w:id="28"/>
      <w:r w:rsidRPr="005F4AB5">
        <w:rPr>
          <w:b/>
          <w:bCs/>
          <w:szCs w:val="24"/>
        </w:rPr>
        <w:t xml:space="preserve"> </w:t>
      </w:r>
    </w:p>
    <w:p w14:paraId="2BC128D3" w14:textId="77777777" w:rsidR="00F15881" w:rsidRPr="005F4AB5" w:rsidRDefault="00F15881" w:rsidP="000D58DB">
      <w:pPr>
        <w:widowControl/>
        <w:autoSpaceDE/>
        <w:autoSpaceDN/>
        <w:ind w:left="705"/>
        <w:textAlignment w:val="baseline"/>
        <w:rPr>
          <w:rFonts w:ascii="Arial MT" w:eastAsia="Times New Roman" w:hAnsi="Arial MT" w:cs="Segoe UI"/>
          <w:lang w:val="en-GB" w:eastAsia="en-GB"/>
        </w:rPr>
      </w:pPr>
    </w:p>
    <w:tbl>
      <w:tblPr>
        <w:tblW w:w="8411" w:type="dxa"/>
        <w:tblInd w:w="7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1706"/>
        <w:gridCol w:w="3260"/>
        <w:gridCol w:w="2410"/>
      </w:tblGrid>
      <w:tr w:rsidR="009E4CF0" w:rsidRPr="005F4AB5" w14:paraId="32882650" w14:textId="77777777" w:rsidTr="00DF7F91">
        <w:trPr>
          <w:cantSplit/>
          <w:trHeight w:val="225"/>
          <w:tblHeader/>
        </w:trPr>
        <w:tc>
          <w:tcPr>
            <w:tcW w:w="1035" w:type="dxa"/>
            <w:tcBorders>
              <w:top w:val="single" w:sz="6" w:space="0" w:color="000000"/>
              <w:left w:val="single" w:sz="6" w:space="0" w:color="000000"/>
              <w:bottom w:val="single" w:sz="6" w:space="0" w:color="000000"/>
              <w:right w:val="single" w:sz="6" w:space="0" w:color="000000"/>
            </w:tcBorders>
            <w:hideMark/>
          </w:tcPr>
          <w:p w14:paraId="3D66B4F3" w14:textId="77777777" w:rsidR="00AB08E1" w:rsidRPr="005F4AB5" w:rsidRDefault="00AB08E1" w:rsidP="000D58DB">
            <w:pPr>
              <w:rPr>
                <w:rFonts w:asciiTheme="minorHAnsi" w:hAnsiTheme="minorHAnsi" w:cstheme="minorHAnsi"/>
                <w:b/>
                <w:bCs/>
                <w:szCs w:val="24"/>
                <w:lang w:val="en-GB" w:eastAsia="en-GB"/>
              </w:rPr>
            </w:pPr>
            <w:r w:rsidRPr="005F4AB5">
              <w:rPr>
                <w:rFonts w:asciiTheme="minorHAnsi" w:hAnsiTheme="minorHAnsi" w:cstheme="minorHAnsi"/>
                <w:b/>
                <w:bCs/>
                <w:szCs w:val="24"/>
                <w:lang w:eastAsia="en-GB"/>
              </w:rPr>
              <w:t>Year</w:t>
            </w:r>
            <w:r w:rsidRPr="005F4AB5">
              <w:rPr>
                <w:rFonts w:asciiTheme="minorHAnsi" w:hAnsiTheme="minorHAnsi" w:cstheme="minorHAnsi"/>
                <w:b/>
                <w:bCs/>
                <w:szCs w:val="24"/>
                <w:lang w:val="en-GB" w:eastAsia="en-GB"/>
              </w:rPr>
              <w:t> </w:t>
            </w:r>
          </w:p>
        </w:tc>
        <w:tc>
          <w:tcPr>
            <w:tcW w:w="1706" w:type="dxa"/>
            <w:tcBorders>
              <w:top w:val="single" w:sz="6" w:space="0" w:color="000000"/>
              <w:left w:val="single" w:sz="6" w:space="0" w:color="000000"/>
              <w:bottom w:val="single" w:sz="6" w:space="0" w:color="000000"/>
              <w:right w:val="single" w:sz="6" w:space="0" w:color="000000"/>
            </w:tcBorders>
            <w:hideMark/>
          </w:tcPr>
          <w:p w14:paraId="28389576" w14:textId="77777777" w:rsidR="00AB08E1" w:rsidRPr="005F4AB5" w:rsidRDefault="00AB08E1" w:rsidP="000D58DB">
            <w:pPr>
              <w:rPr>
                <w:rFonts w:asciiTheme="minorHAnsi" w:hAnsiTheme="minorHAnsi" w:cstheme="minorHAnsi"/>
                <w:b/>
                <w:bCs/>
                <w:szCs w:val="24"/>
                <w:lang w:val="en-GB" w:eastAsia="en-GB"/>
              </w:rPr>
            </w:pPr>
            <w:r w:rsidRPr="005F4AB5">
              <w:rPr>
                <w:rFonts w:asciiTheme="minorHAnsi" w:hAnsiTheme="minorHAnsi" w:cstheme="minorHAnsi"/>
                <w:b/>
                <w:bCs/>
                <w:szCs w:val="24"/>
                <w:lang w:eastAsia="en-GB"/>
              </w:rPr>
              <w:t>JCS</w:t>
            </w:r>
            <w:r w:rsidRPr="005F4AB5">
              <w:rPr>
                <w:rFonts w:asciiTheme="minorHAnsi" w:hAnsiTheme="minorHAnsi" w:cstheme="minorHAnsi"/>
                <w:b/>
                <w:bCs/>
                <w:szCs w:val="24"/>
                <w:lang w:val="en-GB" w:eastAsia="en-GB"/>
              </w:rPr>
              <w:t> </w:t>
            </w:r>
          </w:p>
          <w:p w14:paraId="1DCA98C6" w14:textId="1B1D9611" w:rsidR="00AB08E1" w:rsidRPr="005F4AB5" w:rsidRDefault="00AB08E1" w:rsidP="000D58DB">
            <w:pPr>
              <w:rPr>
                <w:rFonts w:asciiTheme="minorHAnsi" w:hAnsiTheme="minorHAnsi" w:cstheme="minorHAnsi"/>
                <w:b/>
                <w:bCs/>
                <w:szCs w:val="24"/>
                <w:lang w:val="en-GB" w:eastAsia="en-GB"/>
              </w:rPr>
            </w:pPr>
            <w:r w:rsidRPr="005F4AB5">
              <w:rPr>
                <w:rFonts w:asciiTheme="minorHAnsi" w:hAnsiTheme="minorHAnsi" w:cstheme="minorHAnsi"/>
                <w:b/>
                <w:bCs/>
                <w:szCs w:val="24"/>
                <w:lang w:eastAsia="en-GB"/>
              </w:rPr>
              <w:t>Requirement</w:t>
            </w:r>
            <w:r w:rsidRPr="005F4AB5">
              <w:rPr>
                <w:rStyle w:val="FootnoteReference"/>
                <w:rFonts w:asciiTheme="minorHAnsi" w:hAnsiTheme="minorHAnsi" w:cstheme="minorHAnsi"/>
                <w:b/>
                <w:bCs/>
                <w:szCs w:val="24"/>
                <w:lang w:eastAsia="en-GB"/>
              </w:rPr>
              <w:footnoteReference w:id="1"/>
            </w:r>
          </w:p>
        </w:tc>
        <w:tc>
          <w:tcPr>
            <w:tcW w:w="3260" w:type="dxa"/>
            <w:tcBorders>
              <w:top w:val="single" w:sz="6" w:space="0" w:color="000000"/>
              <w:left w:val="single" w:sz="6" w:space="0" w:color="000000"/>
              <w:bottom w:val="single" w:sz="6" w:space="0" w:color="000000"/>
              <w:right w:val="single" w:sz="6" w:space="0" w:color="000000"/>
            </w:tcBorders>
            <w:hideMark/>
          </w:tcPr>
          <w:p w14:paraId="0053B3A8" w14:textId="5FEDB5DB" w:rsidR="00AB08E1" w:rsidRPr="005F4AB5" w:rsidRDefault="00AB08E1" w:rsidP="000D58DB">
            <w:pPr>
              <w:rPr>
                <w:rFonts w:asciiTheme="minorHAnsi" w:hAnsiTheme="minorHAnsi" w:cstheme="minorHAnsi"/>
                <w:b/>
                <w:bCs/>
                <w:szCs w:val="24"/>
                <w:lang w:val="en-GB" w:eastAsia="en-GB"/>
              </w:rPr>
            </w:pPr>
            <w:r w:rsidRPr="005F4AB5">
              <w:rPr>
                <w:rFonts w:asciiTheme="minorHAnsi" w:hAnsiTheme="minorHAnsi" w:cstheme="minorHAnsi"/>
                <w:b/>
                <w:bCs/>
                <w:szCs w:val="24"/>
                <w:lang w:eastAsia="en-GB"/>
              </w:rPr>
              <w:t>Net Annual Completions</w:t>
            </w:r>
            <w:r w:rsidRPr="005F4AB5">
              <w:rPr>
                <w:rFonts w:asciiTheme="minorHAnsi" w:hAnsiTheme="minorHAnsi" w:cstheme="minorHAnsi"/>
                <w:b/>
                <w:bCs/>
                <w:szCs w:val="24"/>
                <w:lang w:val="en-GB" w:eastAsia="en-GB"/>
              </w:rPr>
              <w:t xml:space="preserve"> in Gloucester and </w:t>
            </w:r>
            <w:r w:rsidRPr="005F4AB5">
              <w:rPr>
                <w:rFonts w:asciiTheme="minorHAnsi" w:hAnsiTheme="minorHAnsi" w:cstheme="minorHAnsi"/>
                <w:b/>
                <w:bCs/>
                <w:szCs w:val="24"/>
                <w:lang w:eastAsia="en-GB"/>
              </w:rPr>
              <w:t>JCS Allocations</w:t>
            </w:r>
          </w:p>
        </w:tc>
        <w:tc>
          <w:tcPr>
            <w:tcW w:w="2410" w:type="dxa"/>
            <w:tcBorders>
              <w:top w:val="single" w:sz="6" w:space="0" w:color="000000"/>
              <w:left w:val="single" w:sz="6" w:space="0" w:color="000000"/>
              <w:bottom w:val="single" w:sz="6" w:space="0" w:color="000000"/>
              <w:right w:val="single" w:sz="6" w:space="0" w:color="000000"/>
            </w:tcBorders>
            <w:hideMark/>
          </w:tcPr>
          <w:p w14:paraId="4D7FAAD7" w14:textId="4F40DAF9" w:rsidR="00AB08E1" w:rsidRPr="005F4AB5" w:rsidRDefault="00AB08E1" w:rsidP="000D58DB">
            <w:pPr>
              <w:rPr>
                <w:rFonts w:asciiTheme="minorHAnsi" w:hAnsiTheme="minorHAnsi" w:cstheme="minorHAnsi"/>
                <w:b/>
                <w:bCs/>
                <w:szCs w:val="24"/>
                <w:lang w:eastAsia="en-GB"/>
              </w:rPr>
            </w:pPr>
            <w:r w:rsidRPr="005F4AB5">
              <w:rPr>
                <w:rFonts w:asciiTheme="minorHAnsi" w:hAnsiTheme="minorHAnsi" w:cstheme="minorHAnsi"/>
                <w:b/>
                <w:bCs/>
                <w:szCs w:val="24"/>
                <w:lang w:eastAsia="en-GB"/>
              </w:rPr>
              <w:t xml:space="preserve">Delivery against </w:t>
            </w:r>
          </w:p>
          <w:p w14:paraId="261FF1B3" w14:textId="7F2BC709" w:rsidR="00AB08E1" w:rsidRPr="005F4AB5" w:rsidRDefault="00AB08E1" w:rsidP="000D58DB">
            <w:pPr>
              <w:rPr>
                <w:rFonts w:asciiTheme="minorHAnsi" w:hAnsiTheme="minorHAnsi" w:cstheme="minorHAnsi"/>
                <w:b/>
                <w:bCs/>
                <w:szCs w:val="24"/>
                <w:lang w:val="en-GB" w:eastAsia="en-GB"/>
              </w:rPr>
            </w:pPr>
            <w:r w:rsidRPr="005F4AB5">
              <w:rPr>
                <w:rFonts w:asciiTheme="minorHAnsi" w:hAnsiTheme="minorHAnsi" w:cstheme="minorHAnsi"/>
                <w:b/>
                <w:bCs/>
                <w:szCs w:val="24"/>
                <w:lang w:eastAsia="en-GB"/>
              </w:rPr>
              <w:t>requirement</w:t>
            </w:r>
            <w:r w:rsidRPr="005F4AB5">
              <w:rPr>
                <w:rFonts w:asciiTheme="minorHAnsi" w:hAnsiTheme="minorHAnsi" w:cstheme="minorHAnsi"/>
                <w:b/>
                <w:bCs/>
                <w:szCs w:val="24"/>
                <w:lang w:val="en-GB" w:eastAsia="en-GB"/>
              </w:rPr>
              <w:t> </w:t>
            </w:r>
          </w:p>
        </w:tc>
      </w:tr>
      <w:tr w:rsidR="009E4CF0" w:rsidRPr="005F4AB5" w14:paraId="0B3BDFCC" w14:textId="77777777" w:rsidTr="00DF7F91">
        <w:trPr>
          <w:trHeight w:val="225"/>
        </w:trPr>
        <w:tc>
          <w:tcPr>
            <w:tcW w:w="1035" w:type="dxa"/>
            <w:tcBorders>
              <w:top w:val="single" w:sz="6" w:space="0" w:color="000000"/>
              <w:left w:val="single" w:sz="6" w:space="0" w:color="000000"/>
              <w:bottom w:val="single" w:sz="6" w:space="0" w:color="000000"/>
              <w:right w:val="single" w:sz="6" w:space="0" w:color="000000"/>
            </w:tcBorders>
            <w:hideMark/>
          </w:tcPr>
          <w:p w14:paraId="2C329B76" w14:textId="77777777" w:rsidR="00AB08E1" w:rsidRPr="005F4AB5" w:rsidRDefault="00AB08E1" w:rsidP="00AC0413">
            <w:pPr>
              <w:rPr>
                <w:rFonts w:asciiTheme="minorHAnsi" w:hAnsiTheme="minorHAnsi" w:cstheme="minorHAnsi"/>
                <w:szCs w:val="24"/>
                <w:lang w:val="en-GB" w:eastAsia="en-GB"/>
              </w:rPr>
            </w:pPr>
            <w:r w:rsidRPr="005F4AB5">
              <w:rPr>
                <w:rFonts w:asciiTheme="minorHAnsi" w:hAnsiTheme="minorHAnsi" w:cstheme="minorHAnsi"/>
                <w:szCs w:val="24"/>
                <w:lang w:eastAsia="en-GB"/>
              </w:rPr>
              <w:t>2011/12</w:t>
            </w:r>
            <w:r w:rsidRPr="005F4AB5">
              <w:rPr>
                <w:rFonts w:asciiTheme="minorHAnsi" w:hAnsiTheme="minorHAnsi" w:cstheme="minorHAnsi"/>
                <w:szCs w:val="24"/>
                <w:lang w:val="en-GB" w:eastAsia="en-GB"/>
              </w:rPr>
              <w:t> </w:t>
            </w:r>
          </w:p>
        </w:tc>
        <w:tc>
          <w:tcPr>
            <w:tcW w:w="1706" w:type="dxa"/>
            <w:tcBorders>
              <w:top w:val="single" w:sz="6" w:space="0" w:color="000000"/>
              <w:left w:val="single" w:sz="6" w:space="0" w:color="000000"/>
              <w:bottom w:val="single" w:sz="6" w:space="0" w:color="000000"/>
              <w:right w:val="single" w:sz="6" w:space="0" w:color="000000"/>
            </w:tcBorders>
          </w:tcPr>
          <w:p w14:paraId="2C82D3E3" w14:textId="5B3189BA" w:rsidR="00AB08E1" w:rsidRPr="005F4AB5" w:rsidRDefault="00AB08E1" w:rsidP="00AC0413">
            <w:pPr>
              <w:rPr>
                <w:rFonts w:asciiTheme="minorHAnsi" w:hAnsiTheme="minorHAnsi" w:cstheme="minorHAnsi"/>
                <w:szCs w:val="24"/>
                <w:lang w:val="en-GB" w:eastAsia="en-GB"/>
              </w:rPr>
            </w:pPr>
            <w:r w:rsidRPr="005F4AB5">
              <w:rPr>
                <w:rFonts w:asciiTheme="minorHAnsi" w:hAnsiTheme="minorHAnsi" w:cstheme="minorHAnsi"/>
                <w:szCs w:val="24"/>
                <w:lang w:val="en-GB" w:eastAsia="en-GB"/>
              </w:rPr>
              <w:t>718</w:t>
            </w:r>
          </w:p>
        </w:tc>
        <w:tc>
          <w:tcPr>
            <w:tcW w:w="3260" w:type="dxa"/>
            <w:tcBorders>
              <w:top w:val="single" w:sz="6" w:space="0" w:color="000000"/>
              <w:left w:val="single" w:sz="6" w:space="0" w:color="000000"/>
              <w:bottom w:val="single" w:sz="6" w:space="0" w:color="000000"/>
              <w:right w:val="single" w:sz="6" w:space="0" w:color="000000"/>
            </w:tcBorders>
          </w:tcPr>
          <w:p w14:paraId="32077306" w14:textId="7A38CA8F" w:rsidR="00AB08E1" w:rsidRPr="005F4AB5" w:rsidRDefault="00AB08E1" w:rsidP="00AC0413">
            <w:pPr>
              <w:rPr>
                <w:rFonts w:asciiTheme="minorHAnsi" w:hAnsiTheme="minorHAnsi" w:cstheme="minorHAnsi"/>
                <w:szCs w:val="24"/>
                <w:lang w:val="en-GB" w:eastAsia="en-GB"/>
              </w:rPr>
            </w:pPr>
            <w:r w:rsidRPr="005F4AB5">
              <w:rPr>
                <w:rFonts w:asciiTheme="minorHAnsi" w:eastAsia="Times New Roman" w:hAnsiTheme="minorHAnsi" w:cstheme="minorHAnsi"/>
                <w:szCs w:val="24"/>
              </w:rPr>
              <w:t>593</w:t>
            </w:r>
          </w:p>
        </w:tc>
        <w:tc>
          <w:tcPr>
            <w:tcW w:w="2410" w:type="dxa"/>
            <w:tcBorders>
              <w:top w:val="single" w:sz="6" w:space="0" w:color="000000"/>
              <w:left w:val="single" w:sz="6" w:space="0" w:color="000000"/>
              <w:bottom w:val="single" w:sz="6" w:space="0" w:color="000000"/>
              <w:right w:val="single" w:sz="6" w:space="0" w:color="000000"/>
            </w:tcBorders>
          </w:tcPr>
          <w:p w14:paraId="62D47290" w14:textId="1A9E220A" w:rsidR="00AB08E1" w:rsidRPr="005F4AB5" w:rsidRDefault="00DF7F91" w:rsidP="00AC0413">
            <w:pPr>
              <w:rPr>
                <w:rFonts w:asciiTheme="minorHAnsi" w:hAnsiTheme="minorHAnsi" w:cstheme="minorHAnsi"/>
                <w:szCs w:val="24"/>
                <w:lang w:val="en-GB" w:eastAsia="en-GB"/>
              </w:rPr>
            </w:pPr>
            <w:r w:rsidRPr="005F4AB5">
              <w:rPr>
                <w:rFonts w:asciiTheme="minorHAnsi" w:hAnsiTheme="minorHAnsi" w:cstheme="minorHAnsi"/>
                <w:szCs w:val="24"/>
                <w:lang w:val="en-GB" w:eastAsia="en-GB"/>
              </w:rPr>
              <w:t>-125</w:t>
            </w:r>
          </w:p>
        </w:tc>
      </w:tr>
      <w:tr w:rsidR="009E4CF0" w:rsidRPr="005F4AB5" w14:paraId="60C05D91" w14:textId="77777777" w:rsidTr="00DF7F91">
        <w:trPr>
          <w:trHeight w:val="225"/>
        </w:trPr>
        <w:tc>
          <w:tcPr>
            <w:tcW w:w="1035" w:type="dxa"/>
            <w:tcBorders>
              <w:top w:val="single" w:sz="6" w:space="0" w:color="000000"/>
              <w:left w:val="single" w:sz="6" w:space="0" w:color="000000"/>
              <w:bottom w:val="single" w:sz="6" w:space="0" w:color="000000"/>
              <w:right w:val="single" w:sz="6" w:space="0" w:color="000000"/>
            </w:tcBorders>
            <w:hideMark/>
          </w:tcPr>
          <w:p w14:paraId="130554A7" w14:textId="77777777" w:rsidR="00AB08E1" w:rsidRPr="005F4AB5" w:rsidRDefault="00AB08E1" w:rsidP="00AC0413">
            <w:pPr>
              <w:rPr>
                <w:rFonts w:asciiTheme="minorHAnsi" w:hAnsiTheme="minorHAnsi" w:cstheme="minorHAnsi"/>
                <w:szCs w:val="24"/>
                <w:lang w:val="en-GB" w:eastAsia="en-GB"/>
              </w:rPr>
            </w:pPr>
            <w:r w:rsidRPr="005F4AB5">
              <w:rPr>
                <w:rFonts w:asciiTheme="minorHAnsi" w:hAnsiTheme="minorHAnsi" w:cstheme="minorHAnsi"/>
                <w:szCs w:val="24"/>
                <w:lang w:eastAsia="en-GB"/>
              </w:rPr>
              <w:t>2012/13</w:t>
            </w:r>
            <w:r w:rsidRPr="005F4AB5">
              <w:rPr>
                <w:rFonts w:asciiTheme="minorHAnsi" w:hAnsiTheme="minorHAnsi" w:cstheme="minorHAnsi"/>
                <w:szCs w:val="24"/>
                <w:lang w:val="en-GB" w:eastAsia="en-GB"/>
              </w:rPr>
              <w:t> </w:t>
            </w:r>
          </w:p>
        </w:tc>
        <w:tc>
          <w:tcPr>
            <w:tcW w:w="1706" w:type="dxa"/>
            <w:tcBorders>
              <w:top w:val="single" w:sz="6" w:space="0" w:color="000000"/>
              <w:left w:val="single" w:sz="6" w:space="0" w:color="000000"/>
              <w:bottom w:val="single" w:sz="6" w:space="0" w:color="000000"/>
              <w:right w:val="single" w:sz="6" w:space="0" w:color="000000"/>
            </w:tcBorders>
          </w:tcPr>
          <w:p w14:paraId="4E8D3F58" w14:textId="42007495" w:rsidR="00AB08E1" w:rsidRPr="005F4AB5" w:rsidRDefault="00AB08E1" w:rsidP="00AC0413">
            <w:pPr>
              <w:rPr>
                <w:rFonts w:asciiTheme="minorHAnsi" w:hAnsiTheme="minorHAnsi" w:cstheme="minorHAnsi"/>
                <w:szCs w:val="24"/>
                <w:lang w:val="en-GB" w:eastAsia="en-GB"/>
              </w:rPr>
            </w:pPr>
            <w:r w:rsidRPr="005F4AB5">
              <w:rPr>
                <w:rFonts w:asciiTheme="minorHAnsi" w:hAnsiTheme="minorHAnsi" w:cstheme="minorHAnsi"/>
                <w:szCs w:val="24"/>
                <w:lang w:val="en-GB" w:eastAsia="en-GB"/>
              </w:rPr>
              <w:t>718</w:t>
            </w:r>
          </w:p>
        </w:tc>
        <w:tc>
          <w:tcPr>
            <w:tcW w:w="3260" w:type="dxa"/>
            <w:tcBorders>
              <w:top w:val="single" w:sz="6" w:space="0" w:color="000000"/>
              <w:left w:val="single" w:sz="6" w:space="0" w:color="000000"/>
              <w:bottom w:val="single" w:sz="6" w:space="0" w:color="000000"/>
              <w:right w:val="single" w:sz="6" w:space="0" w:color="000000"/>
            </w:tcBorders>
          </w:tcPr>
          <w:p w14:paraId="1BC3E10C" w14:textId="6FBFDB77" w:rsidR="00AB08E1" w:rsidRPr="005F4AB5" w:rsidRDefault="00AB08E1" w:rsidP="00AC0413">
            <w:pPr>
              <w:rPr>
                <w:rFonts w:asciiTheme="minorHAnsi" w:hAnsiTheme="minorHAnsi" w:cstheme="minorHAnsi"/>
                <w:szCs w:val="24"/>
                <w:lang w:val="en-GB" w:eastAsia="en-GB"/>
              </w:rPr>
            </w:pPr>
            <w:r w:rsidRPr="005F4AB5">
              <w:rPr>
                <w:rFonts w:asciiTheme="minorHAnsi" w:eastAsia="Times New Roman" w:hAnsiTheme="minorHAnsi" w:cstheme="minorHAnsi"/>
                <w:szCs w:val="24"/>
              </w:rPr>
              <w:t xml:space="preserve">430  </w:t>
            </w:r>
          </w:p>
        </w:tc>
        <w:tc>
          <w:tcPr>
            <w:tcW w:w="2410" w:type="dxa"/>
            <w:tcBorders>
              <w:top w:val="single" w:sz="6" w:space="0" w:color="000000"/>
              <w:left w:val="single" w:sz="6" w:space="0" w:color="000000"/>
              <w:bottom w:val="single" w:sz="6" w:space="0" w:color="000000"/>
              <w:right w:val="single" w:sz="6" w:space="0" w:color="000000"/>
            </w:tcBorders>
          </w:tcPr>
          <w:p w14:paraId="449D472D" w14:textId="31165848" w:rsidR="00AB08E1" w:rsidRPr="005F4AB5" w:rsidRDefault="00DF7F91" w:rsidP="00AC0413">
            <w:pPr>
              <w:rPr>
                <w:rFonts w:asciiTheme="minorHAnsi" w:hAnsiTheme="minorHAnsi" w:cstheme="minorHAnsi"/>
                <w:szCs w:val="24"/>
                <w:lang w:val="en-GB" w:eastAsia="en-GB"/>
              </w:rPr>
            </w:pPr>
            <w:r w:rsidRPr="005F4AB5">
              <w:rPr>
                <w:rFonts w:asciiTheme="minorHAnsi" w:hAnsiTheme="minorHAnsi" w:cstheme="minorHAnsi"/>
                <w:szCs w:val="24"/>
                <w:lang w:val="en-GB" w:eastAsia="en-GB"/>
              </w:rPr>
              <w:t>-288</w:t>
            </w:r>
          </w:p>
        </w:tc>
      </w:tr>
      <w:tr w:rsidR="009E4CF0" w:rsidRPr="005F4AB5" w14:paraId="1CFC4E55" w14:textId="77777777" w:rsidTr="00DF7F91">
        <w:trPr>
          <w:trHeight w:val="225"/>
        </w:trPr>
        <w:tc>
          <w:tcPr>
            <w:tcW w:w="1035" w:type="dxa"/>
            <w:tcBorders>
              <w:top w:val="single" w:sz="6" w:space="0" w:color="000000"/>
              <w:left w:val="single" w:sz="6" w:space="0" w:color="000000"/>
              <w:bottom w:val="single" w:sz="6" w:space="0" w:color="000000"/>
              <w:right w:val="single" w:sz="6" w:space="0" w:color="000000"/>
            </w:tcBorders>
            <w:hideMark/>
          </w:tcPr>
          <w:p w14:paraId="4ED263CF" w14:textId="77777777" w:rsidR="00AB08E1" w:rsidRPr="005F4AB5" w:rsidRDefault="00AB08E1" w:rsidP="00AC0413">
            <w:pPr>
              <w:rPr>
                <w:rFonts w:asciiTheme="minorHAnsi" w:hAnsiTheme="minorHAnsi" w:cstheme="minorHAnsi"/>
                <w:szCs w:val="24"/>
                <w:lang w:val="en-GB" w:eastAsia="en-GB"/>
              </w:rPr>
            </w:pPr>
            <w:r w:rsidRPr="005F4AB5">
              <w:rPr>
                <w:rFonts w:asciiTheme="minorHAnsi" w:hAnsiTheme="minorHAnsi" w:cstheme="minorHAnsi"/>
                <w:szCs w:val="24"/>
                <w:lang w:eastAsia="en-GB"/>
              </w:rPr>
              <w:t>2013/14</w:t>
            </w:r>
            <w:r w:rsidRPr="005F4AB5">
              <w:rPr>
                <w:rFonts w:asciiTheme="minorHAnsi" w:hAnsiTheme="minorHAnsi" w:cstheme="minorHAnsi"/>
                <w:szCs w:val="24"/>
                <w:lang w:val="en-GB" w:eastAsia="en-GB"/>
              </w:rPr>
              <w:t> </w:t>
            </w:r>
          </w:p>
        </w:tc>
        <w:tc>
          <w:tcPr>
            <w:tcW w:w="1706" w:type="dxa"/>
            <w:tcBorders>
              <w:top w:val="single" w:sz="6" w:space="0" w:color="000000"/>
              <w:left w:val="single" w:sz="6" w:space="0" w:color="000000"/>
              <w:bottom w:val="single" w:sz="6" w:space="0" w:color="000000"/>
              <w:right w:val="single" w:sz="6" w:space="0" w:color="000000"/>
            </w:tcBorders>
          </w:tcPr>
          <w:p w14:paraId="784BD7C2" w14:textId="6C2A7548" w:rsidR="00AB08E1" w:rsidRPr="005F4AB5" w:rsidRDefault="00AB08E1" w:rsidP="00AC0413">
            <w:pPr>
              <w:rPr>
                <w:rFonts w:asciiTheme="minorHAnsi" w:hAnsiTheme="minorHAnsi" w:cstheme="minorHAnsi"/>
                <w:szCs w:val="24"/>
                <w:lang w:val="en-GB" w:eastAsia="en-GB"/>
              </w:rPr>
            </w:pPr>
            <w:r w:rsidRPr="005F4AB5">
              <w:rPr>
                <w:rFonts w:asciiTheme="minorHAnsi" w:hAnsiTheme="minorHAnsi" w:cstheme="minorHAnsi"/>
                <w:szCs w:val="24"/>
                <w:lang w:val="en-GB" w:eastAsia="en-GB"/>
              </w:rPr>
              <w:t>718</w:t>
            </w:r>
          </w:p>
        </w:tc>
        <w:tc>
          <w:tcPr>
            <w:tcW w:w="3260" w:type="dxa"/>
            <w:tcBorders>
              <w:top w:val="single" w:sz="6" w:space="0" w:color="000000"/>
              <w:left w:val="single" w:sz="6" w:space="0" w:color="000000"/>
              <w:bottom w:val="single" w:sz="6" w:space="0" w:color="000000"/>
              <w:right w:val="single" w:sz="6" w:space="0" w:color="000000"/>
            </w:tcBorders>
          </w:tcPr>
          <w:p w14:paraId="10A12C55" w14:textId="2E534676" w:rsidR="00AB08E1" w:rsidRPr="005F4AB5" w:rsidRDefault="00AB08E1" w:rsidP="00AC0413">
            <w:pPr>
              <w:rPr>
                <w:rFonts w:asciiTheme="minorHAnsi" w:hAnsiTheme="minorHAnsi" w:cstheme="minorHAnsi"/>
                <w:szCs w:val="24"/>
                <w:lang w:val="en-GB" w:eastAsia="en-GB"/>
              </w:rPr>
            </w:pPr>
            <w:r w:rsidRPr="005F4AB5">
              <w:rPr>
                <w:rFonts w:asciiTheme="minorHAnsi" w:eastAsia="Times New Roman" w:hAnsiTheme="minorHAnsi" w:cstheme="minorHAnsi"/>
                <w:szCs w:val="24"/>
              </w:rPr>
              <w:t>476</w:t>
            </w:r>
          </w:p>
        </w:tc>
        <w:tc>
          <w:tcPr>
            <w:tcW w:w="2410" w:type="dxa"/>
            <w:tcBorders>
              <w:top w:val="single" w:sz="6" w:space="0" w:color="000000"/>
              <w:left w:val="single" w:sz="6" w:space="0" w:color="000000"/>
              <w:bottom w:val="single" w:sz="6" w:space="0" w:color="000000"/>
              <w:right w:val="single" w:sz="6" w:space="0" w:color="000000"/>
            </w:tcBorders>
          </w:tcPr>
          <w:p w14:paraId="122E804A" w14:textId="708B2E8C" w:rsidR="00AB08E1" w:rsidRPr="005F4AB5" w:rsidRDefault="00DF7F91" w:rsidP="00AC0413">
            <w:pPr>
              <w:rPr>
                <w:rFonts w:asciiTheme="minorHAnsi" w:hAnsiTheme="minorHAnsi" w:cstheme="minorHAnsi"/>
                <w:szCs w:val="24"/>
                <w:lang w:val="en-GB" w:eastAsia="en-GB"/>
              </w:rPr>
            </w:pPr>
            <w:r w:rsidRPr="005F4AB5">
              <w:rPr>
                <w:rFonts w:asciiTheme="minorHAnsi" w:hAnsiTheme="minorHAnsi" w:cstheme="minorHAnsi"/>
                <w:szCs w:val="24"/>
                <w:lang w:val="en-GB" w:eastAsia="en-GB"/>
              </w:rPr>
              <w:t>-242</w:t>
            </w:r>
          </w:p>
        </w:tc>
      </w:tr>
      <w:tr w:rsidR="009E4CF0" w:rsidRPr="005F4AB5" w14:paraId="5D3F1616" w14:textId="77777777" w:rsidTr="00DF7F91">
        <w:trPr>
          <w:trHeight w:val="225"/>
        </w:trPr>
        <w:tc>
          <w:tcPr>
            <w:tcW w:w="1035" w:type="dxa"/>
            <w:tcBorders>
              <w:top w:val="single" w:sz="6" w:space="0" w:color="000000"/>
              <w:left w:val="single" w:sz="6" w:space="0" w:color="000000"/>
              <w:bottom w:val="single" w:sz="6" w:space="0" w:color="000000"/>
              <w:right w:val="single" w:sz="6" w:space="0" w:color="000000"/>
            </w:tcBorders>
            <w:hideMark/>
          </w:tcPr>
          <w:p w14:paraId="1655D63E" w14:textId="77777777" w:rsidR="00AB08E1" w:rsidRPr="005F4AB5" w:rsidRDefault="00AB08E1" w:rsidP="00AC0413">
            <w:pPr>
              <w:rPr>
                <w:rFonts w:asciiTheme="minorHAnsi" w:hAnsiTheme="minorHAnsi" w:cstheme="minorHAnsi"/>
                <w:szCs w:val="24"/>
                <w:lang w:val="en-GB" w:eastAsia="en-GB"/>
              </w:rPr>
            </w:pPr>
            <w:r w:rsidRPr="005F4AB5">
              <w:rPr>
                <w:rFonts w:asciiTheme="minorHAnsi" w:hAnsiTheme="minorHAnsi" w:cstheme="minorHAnsi"/>
                <w:szCs w:val="24"/>
                <w:lang w:eastAsia="en-GB"/>
              </w:rPr>
              <w:t>2014/15</w:t>
            </w:r>
            <w:r w:rsidRPr="005F4AB5">
              <w:rPr>
                <w:rFonts w:asciiTheme="minorHAnsi" w:hAnsiTheme="minorHAnsi" w:cstheme="minorHAnsi"/>
                <w:szCs w:val="24"/>
                <w:lang w:val="en-GB" w:eastAsia="en-GB"/>
              </w:rPr>
              <w:t> </w:t>
            </w:r>
          </w:p>
        </w:tc>
        <w:tc>
          <w:tcPr>
            <w:tcW w:w="1706" w:type="dxa"/>
            <w:tcBorders>
              <w:top w:val="single" w:sz="6" w:space="0" w:color="000000"/>
              <w:left w:val="single" w:sz="6" w:space="0" w:color="000000"/>
              <w:bottom w:val="single" w:sz="6" w:space="0" w:color="000000"/>
              <w:right w:val="single" w:sz="6" w:space="0" w:color="000000"/>
            </w:tcBorders>
          </w:tcPr>
          <w:p w14:paraId="7608C74F" w14:textId="361960B4" w:rsidR="00AB08E1" w:rsidRPr="005F4AB5" w:rsidRDefault="00AB08E1" w:rsidP="00AC0413">
            <w:pPr>
              <w:rPr>
                <w:rFonts w:asciiTheme="minorHAnsi" w:hAnsiTheme="minorHAnsi" w:cstheme="minorHAnsi"/>
                <w:szCs w:val="24"/>
                <w:lang w:val="en-GB" w:eastAsia="en-GB"/>
              </w:rPr>
            </w:pPr>
            <w:r w:rsidRPr="005F4AB5">
              <w:rPr>
                <w:rFonts w:asciiTheme="minorHAnsi" w:hAnsiTheme="minorHAnsi" w:cstheme="minorHAnsi"/>
                <w:szCs w:val="24"/>
                <w:lang w:val="en-GB" w:eastAsia="en-GB"/>
              </w:rPr>
              <w:t>718</w:t>
            </w:r>
          </w:p>
        </w:tc>
        <w:tc>
          <w:tcPr>
            <w:tcW w:w="3260" w:type="dxa"/>
            <w:tcBorders>
              <w:top w:val="single" w:sz="6" w:space="0" w:color="000000"/>
              <w:left w:val="single" w:sz="6" w:space="0" w:color="000000"/>
              <w:bottom w:val="single" w:sz="6" w:space="0" w:color="000000"/>
              <w:right w:val="single" w:sz="6" w:space="0" w:color="000000"/>
            </w:tcBorders>
          </w:tcPr>
          <w:p w14:paraId="49D32A25" w14:textId="4BC2FBCD" w:rsidR="00AB08E1" w:rsidRPr="005F4AB5" w:rsidRDefault="00AB08E1" w:rsidP="00AC0413">
            <w:pPr>
              <w:rPr>
                <w:rFonts w:asciiTheme="minorHAnsi" w:hAnsiTheme="minorHAnsi" w:cstheme="minorHAnsi"/>
                <w:szCs w:val="24"/>
                <w:lang w:val="en-GB" w:eastAsia="en-GB"/>
              </w:rPr>
            </w:pPr>
            <w:r w:rsidRPr="005F4AB5">
              <w:rPr>
                <w:rFonts w:asciiTheme="minorHAnsi" w:eastAsia="Times New Roman" w:hAnsiTheme="minorHAnsi" w:cstheme="minorHAnsi"/>
                <w:szCs w:val="24"/>
              </w:rPr>
              <w:t>554</w:t>
            </w:r>
          </w:p>
        </w:tc>
        <w:tc>
          <w:tcPr>
            <w:tcW w:w="2410" w:type="dxa"/>
            <w:tcBorders>
              <w:top w:val="single" w:sz="6" w:space="0" w:color="000000"/>
              <w:left w:val="single" w:sz="6" w:space="0" w:color="000000"/>
              <w:bottom w:val="single" w:sz="6" w:space="0" w:color="000000"/>
              <w:right w:val="single" w:sz="6" w:space="0" w:color="000000"/>
            </w:tcBorders>
          </w:tcPr>
          <w:p w14:paraId="45049E70" w14:textId="536B56D3" w:rsidR="00AB08E1" w:rsidRPr="005F4AB5" w:rsidRDefault="00DF7F91" w:rsidP="00AC0413">
            <w:pPr>
              <w:rPr>
                <w:rFonts w:asciiTheme="minorHAnsi" w:hAnsiTheme="minorHAnsi" w:cstheme="minorHAnsi"/>
                <w:szCs w:val="24"/>
                <w:lang w:val="en-GB" w:eastAsia="en-GB"/>
              </w:rPr>
            </w:pPr>
            <w:r w:rsidRPr="005F4AB5">
              <w:rPr>
                <w:rFonts w:asciiTheme="minorHAnsi" w:hAnsiTheme="minorHAnsi" w:cstheme="minorHAnsi"/>
                <w:szCs w:val="24"/>
                <w:lang w:val="en-GB" w:eastAsia="en-GB"/>
              </w:rPr>
              <w:t>-164</w:t>
            </w:r>
          </w:p>
        </w:tc>
      </w:tr>
      <w:tr w:rsidR="009E4CF0" w:rsidRPr="005F4AB5" w14:paraId="3E094C0D" w14:textId="77777777" w:rsidTr="00DF7F91">
        <w:trPr>
          <w:trHeight w:val="225"/>
        </w:trPr>
        <w:tc>
          <w:tcPr>
            <w:tcW w:w="1035" w:type="dxa"/>
            <w:tcBorders>
              <w:top w:val="single" w:sz="6" w:space="0" w:color="000000"/>
              <w:left w:val="single" w:sz="6" w:space="0" w:color="000000"/>
              <w:bottom w:val="single" w:sz="6" w:space="0" w:color="000000"/>
              <w:right w:val="single" w:sz="6" w:space="0" w:color="000000"/>
            </w:tcBorders>
            <w:hideMark/>
          </w:tcPr>
          <w:p w14:paraId="583F3D4E" w14:textId="77777777" w:rsidR="00AB08E1" w:rsidRPr="005F4AB5" w:rsidRDefault="00AB08E1" w:rsidP="00AC0413">
            <w:pPr>
              <w:rPr>
                <w:rFonts w:asciiTheme="minorHAnsi" w:hAnsiTheme="minorHAnsi" w:cstheme="minorHAnsi"/>
                <w:szCs w:val="24"/>
                <w:lang w:val="en-GB" w:eastAsia="en-GB"/>
              </w:rPr>
            </w:pPr>
            <w:r w:rsidRPr="005F4AB5">
              <w:rPr>
                <w:rFonts w:asciiTheme="minorHAnsi" w:hAnsiTheme="minorHAnsi" w:cstheme="minorHAnsi"/>
                <w:szCs w:val="24"/>
                <w:lang w:eastAsia="en-GB"/>
              </w:rPr>
              <w:t>2015/16</w:t>
            </w:r>
            <w:r w:rsidRPr="005F4AB5">
              <w:rPr>
                <w:rFonts w:asciiTheme="minorHAnsi" w:hAnsiTheme="minorHAnsi" w:cstheme="minorHAnsi"/>
                <w:szCs w:val="24"/>
                <w:lang w:val="en-GB" w:eastAsia="en-GB"/>
              </w:rPr>
              <w:t> </w:t>
            </w:r>
          </w:p>
        </w:tc>
        <w:tc>
          <w:tcPr>
            <w:tcW w:w="1706" w:type="dxa"/>
            <w:tcBorders>
              <w:top w:val="single" w:sz="6" w:space="0" w:color="000000"/>
              <w:left w:val="single" w:sz="6" w:space="0" w:color="000000"/>
              <w:bottom w:val="single" w:sz="6" w:space="0" w:color="000000"/>
              <w:right w:val="single" w:sz="6" w:space="0" w:color="000000"/>
            </w:tcBorders>
          </w:tcPr>
          <w:p w14:paraId="0D1FC815" w14:textId="7AC66FB2" w:rsidR="00AB08E1" w:rsidRPr="005F4AB5" w:rsidRDefault="00AB08E1" w:rsidP="00AC0413">
            <w:pPr>
              <w:rPr>
                <w:rFonts w:asciiTheme="minorHAnsi" w:hAnsiTheme="minorHAnsi" w:cstheme="minorHAnsi"/>
                <w:szCs w:val="24"/>
                <w:lang w:val="en-GB" w:eastAsia="en-GB"/>
              </w:rPr>
            </w:pPr>
            <w:r w:rsidRPr="005F4AB5">
              <w:rPr>
                <w:rFonts w:asciiTheme="minorHAnsi" w:hAnsiTheme="minorHAnsi" w:cstheme="minorHAnsi"/>
                <w:szCs w:val="24"/>
                <w:lang w:val="en-GB" w:eastAsia="en-GB"/>
              </w:rPr>
              <w:t>718</w:t>
            </w:r>
          </w:p>
        </w:tc>
        <w:tc>
          <w:tcPr>
            <w:tcW w:w="3260" w:type="dxa"/>
            <w:tcBorders>
              <w:top w:val="single" w:sz="6" w:space="0" w:color="000000"/>
              <w:left w:val="single" w:sz="6" w:space="0" w:color="000000"/>
              <w:bottom w:val="single" w:sz="6" w:space="0" w:color="000000"/>
              <w:right w:val="single" w:sz="6" w:space="0" w:color="000000"/>
            </w:tcBorders>
          </w:tcPr>
          <w:p w14:paraId="174B92F1" w14:textId="1242C6A2" w:rsidR="00AB08E1" w:rsidRPr="005F4AB5" w:rsidRDefault="00AB08E1" w:rsidP="00AC0413">
            <w:pPr>
              <w:rPr>
                <w:rFonts w:asciiTheme="minorHAnsi" w:hAnsiTheme="minorHAnsi" w:cstheme="minorHAnsi"/>
                <w:szCs w:val="24"/>
                <w:lang w:val="en-GB" w:eastAsia="en-GB"/>
              </w:rPr>
            </w:pPr>
            <w:r w:rsidRPr="005F4AB5">
              <w:rPr>
                <w:rFonts w:asciiTheme="minorHAnsi" w:eastAsia="Times New Roman" w:hAnsiTheme="minorHAnsi" w:cstheme="minorHAnsi"/>
                <w:szCs w:val="24"/>
              </w:rPr>
              <w:t>470</w:t>
            </w:r>
          </w:p>
        </w:tc>
        <w:tc>
          <w:tcPr>
            <w:tcW w:w="2410" w:type="dxa"/>
            <w:tcBorders>
              <w:top w:val="single" w:sz="6" w:space="0" w:color="000000"/>
              <w:left w:val="single" w:sz="6" w:space="0" w:color="000000"/>
              <w:bottom w:val="single" w:sz="6" w:space="0" w:color="000000"/>
              <w:right w:val="single" w:sz="6" w:space="0" w:color="000000"/>
            </w:tcBorders>
          </w:tcPr>
          <w:p w14:paraId="4950DBB3" w14:textId="639B6CB9" w:rsidR="00AB08E1" w:rsidRPr="005F4AB5" w:rsidRDefault="00DF7F91" w:rsidP="00AC0413">
            <w:pPr>
              <w:rPr>
                <w:rFonts w:asciiTheme="minorHAnsi" w:hAnsiTheme="minorHAnsi" w:cstheme="minorHAnsi"/>
                <w:szCs w:val="24"/>
                <w:lang w:val="en-GB" w:eastAsia="en-GB"/>
              </w:rPr>
            </w:pPr>
            <w:r w:rsidRPr="005F4AB5">
              <w:rPr>
                <w:rFonts w:asciiTheme="minorHAnsi" w:hAnsiTheme="minorHAnsi" w:cstheme="minorHAnsi"/>
                <w:szCs w:val="24"/>
                <w:lang w:val="en-GB" w:eastAsia="en-GB"/>
              </w:rPr>
              <w:t>-248</w:t>
            </w:r>
          </w:p>
        </w:tc>
      </w:tr>
      <w:tr w:rsidR="009E4CF0" w:rsidRPr="005F4AB5" w14:paraId="390BDD52" w14:textId="77777777" w:rsidTr="00DF7F91">
        <w:trPr>
          <w:trHeight w:val="225"/>
        </w:trPr>
        <w:tc>
          <w:tcPr>
            <w:tcW w:w="1035" w:type="dxa"/>
            <w:tcBorders>
              <w:top w:val="single" w:sz="6" w:space="0" w:color="000000"/>
              <w:left w:val="single" w:sz="6" w:space="0" w:color="000000"/>
              <w:bottom w:val="single" w:sz="6" w:space="0" w:color="000000"/>
              <w:right w:val="single" w:sz="6" w:space="0" w:color="000000"/>
            </w:tcBorders>
            <w:hideMark/>
          </w:tcPr>
          <w:p w14:paraId="05B76964" w14:textId="77777777" w:rsidR="00AB08E1" w:rsidRPr="005F4AB5" w:rsidRDefault="00AB08E1" w:rsidP="00AC0413">
            <w:pPr>
              <w:rPr>
                <w:rFonts w:asciiTheme="minorHAnsi" w:hAnsiTheme="minorHAnsi" w:cstheme="minorHAnsi"/>
                <w:szCs w:val="24"/>
                <w:lang w:val="en-GB" w:eastAsia="en-GB"/>
              </w:rPr>
            </w:pPr>
            <w:r w:rsidRPr="005F4AB5">
              <w:rPr>
                <w:rFonts w:asciiTheme="minorHAnsi" w:hAnsiTheme="minorHAnsi" w:cstheme="minorHAnsi"/>
                <w:szCs w:val="24"/>
                <w:lang w:eastAsia="en-GB"/>
              </w:rPr>
              <w:t>2016/17</w:t>
            </w:r>
            <w:r w:rsidRPr="005F4AB5">
              <w:rPr>
                <w:rFonts w:asciiTheme="minorHAnsi" w:hAnsiTheme="minorHAnsi" w:cstheme="minorHAnsi"/>
                <w:szCs w:val="24"/>
                <w:lang w:val="en-GB" w:eastAsia="en-GB"/>
              </w:rPr>
              <w:t> </w:t>
            </w:r>
          </w:p>
        </w:tc>
        <w:tc>
          <w:tcPr>
            <w:tcW w:w="1706" w:type="dxa"/>
            <w:tcBorders>
              <w:top w:val="single" w:sz="6" w:space="0" w:color="000000"/>
              <w:left w:val="single" w:sz="6" w:space="0" w:color="000000"/>
              <w:bottom w:val="single" w:sz="6" w:space="0" w:color="000000"/>
              <w:right w:val="single" w:sz="6" w:space="0" w:color="000000"/>
            </w:tcBorders>
          </w:tcPr>
          <w:p w14:paraId="6852CC8F" w14:textId="1FADA87C" w:rsidR="00AB08E1" w:rsidRPr="005F4AB5" w:rsidRDefault="00AB08E1" w:rsidP="00AC0413">
            <w:pPr>
              <w:rPr>
                <w:rFonts w:asciiTheme="minorHAnsi" w:hAnsiTheme="minorHAnsi" w:cstheme="minorHAnsi"/>
                <w:szCs w:val="24"/>
                <w:lang w:val="en-GB" w:eastAsia="en-GB"/>
              </w:rPr>
            </w:pPr>
            <w:r w:rsidRPr="005F4AB5">
              <w:rPr>
                <w:rFonts w:asciiTheme="minorHAnsi" w:hAnsiTheme="minorHAnsi" w:cstheme="minorHAnsi"/>
                <w:szCs w:val="24"/>
                <w:lang w:val="en-GB" w:eastAsia="en-GB"/>
              </w:rPr>
              <w:t>718</w:t>
            </w:r>
          </w:p>
        </w:tc>
        <w:tc>
          <w:tcPr>
            <w:tcW w:w="3260" w:type="dxa"/>
            <w:tcBorders>
              <w:top w:val="single" w:sz="6" w:space="0" w:color="000000"/>
              <w:left w:val="single" w:sz="6" w:space="0" w:color="000000"/>
              <w:bottom w:val="single" w:sz="6" w:space="0" w:color="000000"/>
              <w:right w:val="single" w:sz="6" w:space="0" w:color="000000"/>
            </w:tcBorders>
          </w:tcPr>
          <w:p w14:paraId="4B7E82BC" w14:textId="26CB028E" w:rsidR="00AB08E1" w:rsidRPr="005F4AB5" w:rsidRDefault="00AB08E1" w:rsidP="00AC0413">
            <w:pPr>
              <w:rPr>
                <w:rFonts w:asciiTheme="minorHAnsi" w:hAnsiTheme="minorHAnsi" w:cstheme="minorHAnsi"/>
                <w:szCs w:val="24"/>
                <w:lang w:val="en-GB" w:eastAsia="en-GB"/>
              </w:rPr>
            </w:pPr>
            <w:r w:rsidRPr="005F4AB5">
              <w:rPr>
                <w:rFonts w:asciiTheme="minorHAnsi" w:eastAsia="Times New Roman" w:hAnsiTheme="minorHAnsi" w:cstheme="minorHAnsi"/>
                <w:szCs w:val="24"/>
              </w:rPr>
              <w:t>439</w:t>
            </w:r>
          </w:p>
        </w:tc>
        <w:tc>
          <w:tcPr>
            <w:tcW w:w="2410" w:type="dxa"/>
            <w:tcBorders>
              <w:top w:val="single" w:sz="6" w:space="0" w:color="000000"/>
              <w:left w:val="single" w:sz="6" w:space="0" w:color="000000"/>
              <w:bottom w:val="single" w:sz="6" w:space="0" w:color="000000"/>
              <w:right w:val="single" w:sz="6" w:space="0" w:color="000000"/>
            </w:tcBorders>
          </w:tcPr>
          <w:p w14:paraId="4F6A38A4" w14:textId="691BD928" w:rsidR="00AB08E1" w:rsidRPr="005F4AB5" w:rsidRDefault="00DF7F91" w:rsidP="00AC0413">
            <w:pPr>
              <w:rPr>
                <w:rFonts w:asciiTheme="minorHAnsi" w:hAnsiTheme="minorHAnsi" w:cstheme="minorHAnsi"/>
                <w:szCs w:val="24"/>
                <w:lang w:val="en-GB" w:eastAsia="en-GB"/>
              </w:rPr>
            </w:pPr>
            <w:r w:rsidRPr="005F4AB5">
              <w:rPr>
                <w:rFonts w:asciiTheme="minorHAnsi" w:hAnsiTheme="minorHAnsi" w:cstheme="minorHAnsi"/>
                <w:szCs w:val="24"/>
                <w:lang w:val="en-GB" w:eastAsia="en-GB"/>
              </w:rPr>
              <w:t>-279</w:t>
            </w:r>
          </w:p>
        </w:tc>
      </w:tr>
      <w:tr w:rsidR="009E4CF0" w:rsidRPr="005F4AB5" w14:paraId="6363AC5E" w14:textId="77777777" w:rsidTr="00DF7F91">
        <w:trPr>
          <w:trHeight w:val="225"/>
        </w:trPr>
        <w:tc>
          <w:tcPr>
            <w:tcW w:w="1035" w:type="dxa"/>
            <w:tcBorders>
              <w:top w:val="single" w:sz="6" w:space="0" w:color="000000"/>
              <w:left w:val="single" w:sz="6" w:space="0" w:color="000000"/>
              <w:bottom w:val="single" w:sz="6" w:space="0" w:color="000000"/>
              <w:right w:val="single" w:sz="6" w:space="0" w:color="000000"/>
            </w:tcBorders>
            <w:hideMark/>
          </w:tcPr>
          <w:p w14:paraId="1736624A" w14:textId="77777777" w:rsidR="00AB08E1" w:rsidRPr="005F4AB5" w:rsidRDefault="00AB08E1" w:rsidP="00AC0413">
            <w:pPr>
              <w:rPr>
                <w:rFonts w:asciiTheme="minorHAnsi" w:hAnsiTheme="minorHAnsi" w:cstheme="minorHAnsi"/>
                <w:szCs w:val="24"/>
                <w:lang w:val="en-GB" w:eastAsia="en-GB"/>
              </w:rPr>
            </w:pPr>
            <w:r w:rsidRPr="005F4AB5">
              <w:rPr>
                <w:rFonts w:asciiTheme="minorHAnsi" w:hAnsiTheme="minorHAnsi" w:cstheme="minorHAnsi"/>
                <w:szCs w:val="24"/>
                <w:lang w:eastAsia="en-GB"/>
              </w:rPr>
              <w:t>2017/18</w:t>
            </w:r>
            <w:r w:rsidRPr="005F4AB5">
              <w:rPr>
                <w:rFonts w:asciiTheme="minorHAnsi" w:hAnsiTheme="minorHAnsi" w:cstheme="minorHAnsi"/>
                <w:szCs w:val="24"/>
                <w:lang w:val="en-GB" w:eastAsia="en-GB"/>
              </w:rPr>
              <w:t> </w:t>
            </w:r>
          </w:p>
        </w:tc>
        <w:tc>
          <w:tcPr>
            <w:tcW w:w="1706" w:type="dxa"/>
            <w:tcBorders>
              <w:top w:val="single" w:sz="6" w:space="0" w:color="000000"/>
              <w:left w:val="single" w:sz="6" w:space="0" w:color="000000"/>
              <w:bottom w:val="single" w:sz="6" w:space="0" w:color="000000"/>
              <w:right w:val="single" w:sz="6" w:space="0" w:color="000000"/>
            </w:tcBorders>
          </w:tcPr>
          <w:p w14:paraId="1C658002" w14:textId="1CC7FB6E" w:rsidR="00AB08E1" w:rsidRPr="005F4AB5" w:rsidRDefault="00AB08E1" w:rsidP="00AC0413">
            <w:pPr>
              <w:rPr>
                <w:rFonts w:asciiTheme="minorHAnsi" w:hAnsiTheme="minorHAnsi" w:cstheme="minorHAnsi"/>
                <w:szCs w:val="24"/>
                <w:lang w:val="en-GB" w:eastAsia="en-GB"/>
              </w:rPr>
            </w:pPr>
            <w:r w:rsidRPr="005F4AB5">
              <w:rPr>
                <w:rFonts w:asciiTheme="minorHAnsi" w:hAnsiTheme="minorHAnsi" w:cstheme="minorHAnsi"/>
                <w:szCs w:val="24"/>
                <w:lang w:val="en-GB" w:eastAsia="en-GB"/>
              </w:rPr>
              <w:t>718</w:t>
            </w:r>
          </w:p>
        </w:tc>
        <w:tc>
          <w:tcPr>
            <w:tcW w:w="3260" w:type="dxa"/>
            <w:tcBorders>
              <w:top w:val="single" w:sz="6" w:space="0" w:color="000000"/>
              <w:left w:val="single" w:sz="6" w:space="0" w:color="000000"/>
              <w:bottom w:val="single" w:sz="6" w:space="0" w:color="000000"/>
              <w:right w:val="single" w:sz="6" w:space="0" w:color="000000"/>
            </w:tcBorders>
          </w:tcPr>
          <w:p w14:paraId="7CEC9F5E" w14:textId="552DC2EC" w:rsidR="00AB08E1" w:rsidRPr="005F4AB5" w:rsidRDefault="00AB08E1" w:rsidP="00AC0413">
            <w:pPr>
              <w:rPr>
                <w:rFonts w:asciiTheme="minorHAnsi" w:hAnsiTheme="minorHAnsi" w:cstheme="minorHAnsi"/>
                <w:szCs w:val="24"/>
                <w:lang w:val="en-GB" w:eastAsia="en-GB"/>
              </w:rPr>
            </w:pPr>
            <w:r w:rsidRPr="005F4AB5">
              <w:rPr>
                <w:rFonts w:asciiTheme="minorHAnsi" w:eastAsia="Times New Roman" w:hAnsiTheme="minorHAnsi" w:cstheme="minorHAnsi"/>
                <w:szCs w:val="24"/>
              </w:rPr>
              <w:t>487</w:t>
            </w:r>
          </w:p>
        </w:tc>
        <w:tc>
          <w:tcPr>
            <w:tcW w:w="2410" w:type="dxa"/>
            <w:tcBorders>
              <w:top w:val="single" w:sz="6" w:space="0" w:color="000000"/>
              <w:left w:val="single" w:sz="6" w:space="0" w:color="000000"/>
              <w:bottom w:val="single" w:sz="6" w:space="0" w:color="000000"/>
              <w:right w:val="single" w:sz="6" w:space="0" w:color="000000"/>
            </w:tcBorders>
          </w:tcPr>
          <w:p w14:paraId="1CAAE6C4" w14:textId="6A601C2B" w:rsidR="00AB08E1" w:rsidRPr="005F4AB5" w:rsidRDefault="00DF7F91" w:rsidP="00AC0413">
            <w:pPr>
              <w:rPr>
                <w:rFonts w:asciiTheme="minorHAnsi" w:hAnsiTheme="minorHAnsi" w:cstheme="minorHAnsi"/>
                <w:szCs w:val="24"/>
                <w:lang w:val="en-GB" w:eastAsia="en-GB"/>
              </w:rPr>
            </w:pPr>
            <w:r w:rsidRPr="005F4AB5">
              <w:rPr>
                <w:rFonts w:asciiTheme="minorHAnsi" w:hAnsiTheme="minorHAnsi" w:cstheme="minorHAnsi"/>
                <w:szCs w:val="24"/>
                <w:lang w:val="en-GB" w:eastAsia="en-GB"/>
              </w:rPr>
              <w:t>-231</w:t>
            </w:r>
          </w:p>
        </w:tc>
      </w:tr>
      <w:tr w:rsidR="009E4CF0" w:rsidRPr="005F4AB5" w14:paraId="109EBBCC" w14:textId="77777777" w:rsidTr="00DF7F91">
        <w:trPr>
          <w:trHeight w:val="225"/>
        </w:trPr>
        <w:tc>
          <w:tcPr>
            <w:tcW w:w="1035" w:type="dxa"/>
            <w:tcBorders>
              <w:top w:val="single" w:sz="6" w:space="0" w:color="000000"/>
              <w:left w:val="single" w:sz="6" w:space="0" w:color="000000"/>
              <w:bottom w:val="single" w:sz="6" w:space="0" w:color="000000"/>
              <w:right w:val="single" w:sz="6" w:space="0" w:color="000000"/>
            </w:tcBorders>
            <w:hideMark/>
          </w:tcPr>
          <w:p w14:paraId="01D870B6" w14:textId="77777777" w:rsidR="00AB08E1" w:rsidRPr="005F4AB5" w:rsidRDefault="00AB08E1" w:rsidP="00AC0413">
            <w:pPr>
              <w:rPr>
                <w:rFonts w:asciiTheme="minorHAnsi" w:hAnsiTheme="minorHAnsi" w:cstheme="minorHAnsi"/>
                <w:szCs w:val="24"/>
                <w:lang w:val="en-GB" w:eastAsia="en-GB"/>
              </w:rPr>
            </w:pPr>
            <w:r w:rsidRPr="005F4AB5">
              <w:rPr>
                <w:rFonts w:asciiTheme="minorHAnsi" w:hAnsiTheme="minorHAnsi" w:cstheme="minorHAnsi"/>
                <w:szCs w:val="24"/>
                <w:lang w:eastAsia="en-GB"/>
              </w:rPr>
              <w:t>2018/19</w:t>
            </w:r>
            <w:r w:rsidRPr="005F4AB5">
              <w:rPr>
                <w:rFonts w:asciiTheme="minorHAnsi" w:hAnsiTheme="minorHAnsi" w:cstheme="minorHAnsi"/>
                <w:szCs w:val="24"/>
                <w:lang w:val="en-GB" w:eastAsia="en-GB"/>
              </w:rPr>
              <w:t> </w:t>
            </w:r>
          </w:p>
        </w:tc>
        <w:tc>
          <w:tcPr>
            <w:tcW w:w="1706" w:type="dxa"/>
            <w:tcBorders>
              <w:top w:val="single" w:sz="6" w:space="0" w:color="000000"/>
              <w:left w:val="single" w:sz="6" w:space="0" w:color="000000"/>
              <w:bottom w:val="single" w:sz="6" w:space="0" w:color="000000"/>
              <w:right w:val="single" w:sz="6" w:space="0" w:color="000000"/>
            </w:tcBorders>
          </w:tcPr>
          <w:p w14:paraId="6768B26F" w14:textId="6E68092F" w:rsidR="00AB08E1" w:rsidRPr="005F4AB5" w:rsidRDefault="00AB08E1" w:rsidP="00AC0413">
            <w:pPr>
              <w:rPr>
                <w:rFonts w:asciiTheme="minorHAnsi" w:hAnsiTheme="minorHAnsi" w:cstheme="minorHAnsi"/>
                <w:szCs w:val="24"/>
                <w:lang w:val="en-GB" w:eastAsia="en-GB"/>
              </w:rPr>
            </w:pPr>
            <w:r w:rsidRPr="005F4AB5">
              <w:rPr>
                <w:rFonts w:asciiTheme="minorHAnsi" w:hAnsiTheme="minorHAnsi" w:cstheme="minorHAnsi"/>
                <w:szCs w:val="24"/>
                <w:lang w:val="en-GB" w:eastAsia="en-GB"/>
              </w:rPr>
              <w:t>718</w:t>
            </w:r>
          </w:p>
        </w:tc>
        <w:tc>
          <w:tcPr>
            <w:tcW w:w="3260" w:type="dxa"/>
            <w:tcBorders>
              <w:top w:val="single" w:sz="6" w:space="0" w:color="000000"/>
              <w:left w:val="single" w:sz="6" w:space="0" w:color="000000"/>
              <w:bottom w:val="single" w:sz="6" w:space="0" w:color="000000"/>
              <w:right w:val="single" w:sz="6" w:space="0" w:color="000000"/>
            </w:tcBorders>
          </w:tcPr>
          <w:p w14:paraId="36922EA2" w14:textId="579BC08F" w:rsidR="00AB08E1" w:rsidRPr="005F4AB5" w:rsidRDefault="00AB08E1" w:rsidP="00AC0413">
            <w:pPr>
              <w:rPr>
                <w:rFonts w:asciiTheme="minorHAnsi" w:hAnsiTheme="minorHAnsi" w:cstheme="minorHAnsi"/>
                <w:szCs w:val="24"/>
                <w:lang w:val="en-GB" w:eastAsia="en-GB"/>
              </w:rPr>
            </w:pPr>
            <w:r w:rsidRPr="005F4AB5">
              <w:rPr>
                <w:rFonts w:asciiTheme="minorHAnsi" w:eastAsia="Times New Roman" w:hAnsiTheme="minorHAnsi" w:cstheme="minorHAnsi"/>
                <w:bCs/>
                <w:szCs w:val="24"/>
              </w:rPr>
              <w:t>544</w:t>
            </w:r>
          </w:p>
        </w:tc>
        <w:tc>
          <w:tcPr>
            <w:tcW w:w="2410" w:type="dxa"/>
            <w:tcBorders>
              <w:top w:val="single" w:sz="6" w:space="0" w:color="000000"/>
              <w:left w:val="single" w:sz="6" w:space="0" w:color="000000"/>
              <w:bottom w:val="single" w:sz="6" w:space="0" w:color="000000"/>
              <w:right w:val="single" w:sz="6" w:space="0" w:color="000000"/>
            </w:tcBorders>
          </w:tcPr>
          <w:p w14:paraId="2113D352" w14:textId="5DC05AE5" w:rsidR="00AB08E1" w:rsidRPr="005F4AB5" w:rsidRDefault="00DF7F91" w:rsidP="00AC0413">
            <w:pPr>
              <w:rPr>
                <w:rFonts w:asciiTheme="minorHAnsi" w:hAnsiTheme="minorHAnsi" w:cstheme="minorHAnsi"/>
                <w:szCs w:val="24"/>
                <w:lang w:val="en-GB" w:eastAsia="en-GB"/>
              </w:rPr>
            </w:pPr>
            <w:r w:rsidRPr="005F4AB5">
              <w:rPr>
                <w:rFonts w:asciiTheme="minorHAnsi" w:hAnsiTheme="minorHAnsi" w:cstheme="minorHAnsi"/>
                <w:szCs w:val="24"/>
                <w:lang w:val="en-GB" w:eastAsia="en-GB"/>
              </w:rPr>
              <w:t>-174</w:t>
            </w:r>
          </w:p>
        </w:tc>
      </w:tr>
      <w:tr w:rsidR="009E4CF0" w:rsidRPr="005F4AB5" w14:paraId="78820894" w14:textId="77777777" w:rsidTr="00DF7F91">
        <w:trPr>
          <w:trHeight w:val="225"/>
        </w:trPr>
        <w:tc>
          <w:tcPr>
            <w:tcW w:w="1035" w:type="dxa"/>
            <w:tcBorders>
              <w:top w:val="single" w:sz="6" w:space="0" w:color="000000"/>
              <w:left w:val="single" w:sz="6" w:space="0" w:color="000000"/>
              <w:bottom w:val="single" w:sz="6" w:space="0" w:color="000000"/>
              <w:right w:val="single" w:sz="6" w:space="0" w:color="000000"/>
            </w:tcBorders>
            <w:hideMark/>
          </w:tcPr>
          <w:p w14:paraId="34972DC5" w14:textId="77777777" w:rsidR="00AB08E1" w:rsidRPr="005F4AB5" w:rsidRDefault="00AB08E1" w:rsidP="00AB08E1">
            <w:pPr>
              <w:rPr>
                <w:rFonts w:asciiTheme="minorHAnsi" w:hAnsiTheme="minorHAnsi" w:cstheme="minorHAnsi"/>
                <w:szCs w:val="24"/>
                <w:lang w:val="en-GB" w:eastAsia="en-GB"/>
              </w:rPr>
            </w:pPr>
            <w:r w:rsidRPr="005F4AB5">
              <w:rPr>
                <w:rFonts w:asciiTheme="minorHAnsi" w:hAnsiTheme="minorHAnsi" w:cstheme="minorHAnsi"/>
                <w:szCs w:val="24"/>
                <w:lang w:eastAsia="en-GB"/>
              </w:rPr>
              <w:t>2019/20</w:t>
            </w:r>
            <w:r w:rsidRPr="005F4AB5">
              <w:rPr>
                <w:rFonts w:asciiTheme="minorHAnsi" w:hAnsiTheme="minorHAnsi" w:cstheme="minorHAnsi"/>
                <w:szCs w:val="24"/>
                <w:lang w:val="en-GB" w:eastAsia="en-GB"/>
              </w:rPr>
              <w:t> </w:t>
            </w:r>
          </w:p>
        </w:tc>
        <w:tc>
          <w:tcPr>
            <w:tcW w:w="1706" w:type="dxa"/>
            <w:tcBorders>
              <w:top w:val="single" w:sz="6" w:space="0" w:color="000000"/>
              <w:left w:val="single" w:sz="6" w:space="0" w:color="000000"/>
              <w:bottom w:val="single" w:sz="6" w:space="0" w:color="000000"/>
              <w:right w:val="single" w:sz="6" w:space="0" w:color="000000"/>
            </w:tcBorders>
          </w:tcPr>
          <w:p w14:paraId="26C39BEF" w14:textId="6A0CA213" w:rsidR="00AB08E1" w:rsidRPr="005F4AB5" w:rsidRDefault="00AB08E1" w:rsidP="00AB08E1">
            <w:pPr>
              <w:rPr>
                <w:rFonts w:asciiTheme="minorHAnsi" w:hAnsiTheme="minorHAnsi" w:cstheme="minorHAnsi"/>
                <w:szCs w:val="24"/>
                <w:lang w:val="en-GB" w:eastAsia="en-GB"/>
              </w:rPr>
            </w:pPr>
            <w:r w:rsidRPr="005F4AB5">
              <w:rPr>
                <w:rFonts w:asciiTheme="minorHAnsi" w:hAnsiTheme="minorHAnsi" w:cstheme="minorHAnsi"/>
                <w:szCs w:val="24"/>
                <w:lang w:val="en-GB" w:eastAsia="en-GB"/>
              </w:rPr>
              <w:t>718</w:t>
            </w:r>
          </w:p>
        </w:tc>
        <w:tc>
          <w:tcPr>
            <w:tcW w:w="3260" w:type="dxa"/>
            <w:tcBorders>
              <w:top w:val="single" w:sz="6" w:space="0" w:color="000000"/>
              <w:left w:val="single" w:sz="6" w:space="0" w:color="000000"/>
              <w:bottom w:val="single" w:sz="6" w:space="0" w:color="000000"/>
              <w:right w:val="single" w:sz="6" w:space="0" w:color="000000"/>
            </w:tcBorders>
          </w:tcPr>
          <w:p w14:paraId="3941F099" w14:textId="1E083EF2" w:rsidR="00AB08E1" w:rsidRPr="005F4AB5" w:rsidRDefault="00AB08E1" w:rsidP="00AB08E1">
            <w:pPr>
              <w:rPr>
                <w:rFonts w:asciiTheme="minorHAnsi" w:hAnsiTheme="minorHAnsi" w:cstheme="minorHAnsi"/>
                <w:szCs w:val="24"/>
                <w:lang w:val="en-GB" w:eastAsia="en-GB"/>
              </w:rPr>
            </w:pPr>
            <w:r w:rsidRPr="005F4AB5">
              <w:rPr>
                <w:rFonts w:asciiTheme="minorHAnsi" w:eastAsia="Times New Roman" w:hAnsiTheme="minorHAnsi" w:cstheme="minorHAnsi"/>
                <w:bCs/>
                <w:szCs w:val="24"/>
              </w:rPr>
              <w:t xml:space="preserve">467 (+21 from JCS) = </w:t>
            </w:r>
            <w:r w:rsidR="00DF7F91" w:rsidRPr="005F4AB5">
              <w:rPr>
                <w:rFonts w:asciiTheme="minorHAnsi" w:eastAsia="Times New Roman" w:hAnsiTheme="minorHAnsi" w:cstheme="minorHAnsi"/>
                <w:bCs/>
                <w:szCs w:val="24"/>
              </w:rPr>
              <w:t>488</w:t>
            </w:r>
          </w:p>
        </w:tc>
        <w:tc>
          <w:tcPr>
            <w:tcW w:w="2410" w:type="dxa"/>
            <w:tcBorders>
              <w:top w:val="single" w:sz="6" w:space="0" w:color="000000"/>
              <w:left w:val="single" w:sz="6" w:space="0" w:color="000000"/>
              <w:bottom w:val="single" w:sz="6" w:space="0" w:color="000000"/>
              <w:right w:val="single" w:sz="6" w:space="0" w:color="000000"/>
            </w:tcBorders>
          </w:tcPr>
          <w:p w14:paraId="31B7F014" w14:textId="1F78ECDF" w:rsidR="00AB08E1" w:rsidRPr="005F4AB5" w:rsidRDefault="00DF7F91" w:rsidP="00AB08E1">
            <w:pPr>
              <w:rPr>
                <w:rFonts w:asciiTheme="minorHAnsi" w:hAnsiTheme="minorHAnsi" w:cstheme="minorHAnsi"/>
                <w:szCs w:val="24"/>
                <w:lang w:val="en-GB" w:eastAsia="en-GB"/>
              </w:rPr>
            </w:pPr>
            <w:r w:rsidRPr="005F4AB5">
              <w:rPr>
                <w:rFonts w:asciiTheme="minorHAnsi" w:hAnsiTheme="minorHAnsi" w:cstheme="minorHAnsi"/>
                <w:szCs w:val="24"/>
                <w:lang w:val="en-GB" w:eastAsia="en-GB"/>
              </w:rPr>
              <w:t>-230</w:t>
            </w:r>
          </w:p>
        </w:tc>
      </w:tr>
      <w:tr w:rsidR="009E4CF0" w:rsidRPr="005F4AB5" w14:paraId="0048B2F0" w14:textId="77777777" w:rsidTr="00DF7F91">
        <w:trPr>
          <w:trHeight w:val="225"/>
        </w:trPr>
        <w:tc>
          <w:tcPr>
            <w:tcW w:w="1035" w:type="dxa"/>
            <w:tcBorders>
              <w:top w:val="single" w:sz="6" w:space="0" w:color="000000"/>
              <w:left w:val="single" w:sz="6" w:space="0" w:color="000000"/>
              <w:bottom w:val="single" w:sz="6" w:space="0" w:color="000000"/>
              <w:right w:val="single" w:sz="6" w:space="0" w:color="000000"/>
            </w:tcBorders>
            <w:hideMark/>
          </w:tcPr>
          <w:p w14:paraId="2F900363" w14:textId="77777777" w:rsidR="00AB08E1" w:rsidRPr="005F4AB5" w:rsidRDefault="00AB08E1" w:rsidP="00AB08E1">
            <w:pPr>
              <w:rPr>
                <w:rFonts w:asciiTheme="minorHAnsi" w:hAnsiTheme="minorHAnsi" w:cstheme="minorHAnsi"/>
                <w:szCs w:val="24"/>
                <w:lang w:val="en-GB" w:eastAsia="en-GB"/>
              </w:rPr>
            </w:pPr>
            <w:r w:rsidRPr="005F4AB5">
              <w:rPr>
                <w:rFonts w:asciiTheme="minorHAnsi" w:hAnsiTheme="minorHAnsi" w:cstheme="minorHAnsi"/>
                <w:szCs w:val="24"/>
                <w:lang w:eastAsia="en-GB"/>
              </w:rPr>
              <w:t>2020/21</w:t>
            </w:r>
            <w:r w:rsidRPr="005F4AB5">
              <w:rPr>
                <w:rFonts w:asciiTheme="minorHAnsi" w:hAnsiTheme="minorHAnsi" w:cstheme="minorHAnsi"/>
                <w:szCs w:val="24"/>
                <w:lang w:val="en-GB" w:eastAsia="en-GB"/>
              </w:rPr>
              <w:t> </w:t>
            </w:r>
          </w:p>
        </w:tc>
        <w:tc>
          <w:tcPr>
            <w:tcW w:w="1706" w:type="dxa"/>
            <w:tcBorders>
              <w:top w:val="single" w:sz="6" w:space="0" w:color="000000"/>
              <w:left w:val="single" w:sz="6" w:space="0" w:color="000000"/>
              <w:bottom w:val="single" w:sz="6" w:space="0" w:color="000000"/>
              <w:right w:val="single" w:sz="6" w:space="0" w:color="000000"/>
            </w:tcBorders>
          </w:tcPr>
          <w:p w14:paraId="42DEBCEA" w14:textId="1EB2C6FC" w:rsidR="00AB08E1" w:rsidRPr="005F4AB5" w:rsidRDefault="00AB08E1" w:rsidP="00AB08E1">
            <w:pPr>
              <w:rPr>
                <w:rFonts w:asciiTheme="minorHAnsi" w:hAnsiTheme="minorHAnsi" w:cstheme="minorHAnsi"/>
                <w:szCs w:val="24"/>
                <w:lang w:val="en-GB" w:eastAsia="en-GB"/>
              </w:rPr>
            </w:pPr>
            <w:r w:rsidRPr="005F4AB5">
              <w:rPr>
                <w:rFonts w:asciiTheme="minorHAnsi" w:hAnsiTheme="minorHAnsi" w:cstheme="minorHAnsi"/>
                <w:szCs w:val="24"/>
                <w:lang w:val="en-GB" w:eastAsia="en-GB"/>
              </w:rPr>
              <w:t>718</w:t>
            </w:r>
          </w:p>
        </w:tc>
        <w:tc>
          <w:tcPr>
            <w:tcW w:w="3260" w:type="dxa"/>
            <w:tcBorders>
              <w:top w:val="single" w:sz="6" w:space="0" w:color="000000"/>
              <w:left w:val="single" w:sz="6" w:space="0" w:color="000000"/>
              <w:bottom w:val="single" w:sz="6" w:space="0" w:color="000000"/>
              <w:right w:val="single" w:sz="6" w:space="0" w:color="000000"/>
            </w:tcBorders>
          </w:tcPr>
          <w:p w14:paraId="76022F93" w14:textId="03782944" w:rsidR="00AB08E1" w:rsidRPr="005F4AB5" w:rsidRDefault="00AB08E1" w:rsidP="00AB08E1">
            <w:pPr>
              <w:rPr>
                <w:rFonts w:asciiTheme="minorHAnsi" w:hAnsiTheme="minorHAnsi" w:cstheme="minorHAnsi"/>
                <w:szCs w:val="24"/>
                <w:lang w:val="en-GB" w:eastAsia="en-GB"/>
              </w:rPr>
            </w:pPr>
            <w:r w:rsidRPr="005F4AB5">
              <w:rPr>
                <w:rFonts w:asciiTheme="minorHAnsi" w:eastAsia="Times New Roman" w:hAnsiTheme="minorHAnsi" w:cstheme="minorHAnsi"/>
                <w:bCs/>
                <w:szCs w:val="24"/>
              </w:rPr>
              <w:t xml:space="preserve">610 (+114 from JCS) = </w:t>
            </w:r>
            <w:r w:rsidR="00DF7F91" w:rsidRPr="005F4AB5">
              <w:rPr>
                <w:rFonts w:asciiTheme="minorHAnsi" w:eastAsia="Times New Roman" w:hAnsiTheme="minorHAnsi" w:cstheme="minorHAnsi"/>
                <w:bCs/>
                <w:szCs w:val="24"/>
              </w:rPr>
              <w:t>724</w:t>
            </w:r>
          </w:p>
        </w:tc>
        <w:tc>
          <w:tcPr>
            <w:tcW w:w="2410" w:type="dxa"/>
            <w:tcBorders>
              <w:top w:val="single" w:sz="6" w:space="0" w:color="000000"/>
              <w:left w:val="single" w:sz="6" w:space="0" w:color="000000"/>
              <w:bottom w:val="single" w:sz="6" w:space="0" w:color="000000"/>
              <w:right w:val="single" w:sz="6" w:space="0" w:color="000000"/>
            </w:tcBorders>
          </w:tcPr>
          <w:p w14:paraId="4CE8210C" w14:textId="7D23DDEE" w:rsidR="00AB08E1" w:rsidRPr="005F4AB5" w:rsidRDefault="00DF7F91" w:rsidP="00AB08E1">
            <w:pPr>
              <w:rPr>
                <w:rFonts w:asciiTheme="minorHAnsi" w:hAnsiTheme="minorHAnsi" w:cstheme="minorHAnsi"/>
                <w:szCs w:val="24"/>
                <w:lang w:val="en-GB" w:eastAsia="en-GB"/>
              </w:rPr>
            </w:pPr>
            <w:r w:rsidRPr="005F4AB5">
              <w:rPr>
                <w:rFonts w:asciiTheme="minorHAnsi" w:hAnsiTheme="minorHAnsi" w:cstheme="minorHAnsi"/>
                <w:szCs w:val="24"/>
                <w:lang w:val="en-GB" w:eastAsia="en-GB"/>
              </w:rPr>
              <w:t>6</w:t>
            </w:r>
          </w:p>
        </w:tc>
      </w:tr>
      <w:tr w:rsidR="009E4CF0" w:rsidRPr="005F4AB5" w14:paraId="5EA5DDD4" w14:textId="77777777" w:rsidTr="00DF7F91">
        <w:trPr>
          <w:trHeight w:val="225"/>
        </w:trPr>
        <w:tc>
          <w:tcPr>
            <w:tcW w:w="1035" w:type="dxa"/>
            <w:tcBorders>
              <w:top w:val="single" w:sz="6" w:space="0" w:color="000000"/>
              <w:left w:val="single" w:sz="6" w:space="0" w:color="000000"/>
              <w:bottom w:val="single" w:sz="6" w:space="0" w:color="000000"/>
              <w:right w:val="single" w:sz="6" w:space="0" w:color="000000"/>
            </w:tcBorders>
            <w:hideMark/>
          </w:tcPr>
          <w:p w14:paraId="0005520C" w14:textId="77777777" w:rsidR="00AB08E1" w:rsidRPr="005F4AB5" w:rsidRDefault="00AB08E1" w:rsidP="00AB08E1">
            <w:pPr>
              <w:rPr>
                <w:rFonts w:asciiTheme="minorHAnsi" w:hAnsiTheme="minorHAnsi" w:cstheme="minorHAnsi"/>
                <w:szCs w:val="24"/>
                <w:lang w:val="en-GB" w:eastAsia="en-GB"/>
              </w:rPr>
            </w:pPr>
            <w:r w:rsidRPr="005F4AB5">
              <w:rPr>
                <w:rFonts w:asciiTheme="minorHAnsi" w:hAnsiTheme="minorHAnsi" w:cstheme="minorHAnsi"/>
                <w:szCs w:val="24"/>
                <w:lang w:eastAsia="en-GB"/>
              </w:rPr>
              <w:t>2021/22</w:t>
            </w:r>
            <w:r w:rsidRPr="005F4AB5">
              <w:rPr>
                <w:rFonts w:asciiTheme="minorHAnsi" w:hAnsiTheme="minorHAnsi" w:cstheme="minorHAnsi"/>
                <w:szCs w:val="24"/>
                <w:lang w:val="en-GB" w:eastAsia="en-GB"/>
              </w:rPr>
              <w:t> </w:t>
            </w:r>
          </w:p>
        </w:tc>
        <w:tc>
          <w:tcPr>
            <w:tcW w:w="1706" w:type="dxa"/>
            <w:tcBorders>
              <w:top w:val="single" w:sz="6" w:space="0" w:color="000000"/>
              <w:left w:val="single" w:sz="6" w:space="0" w:color="000000"/>
              <w:bottom w:val="single" w:sz="6" w:space="0" w:color="000000"/>
              <w:right w:val="single" w:sz="6" w:space="0" w:color="000000"/>
            </w:tcBorders>
          </w:tcPr>
          <w:p w14:paraId="672933F5" w14:textId="021AE776" w:rsidR="00AB08E1" w:rsidRPr="005F4AB5" w:rsidRDefault="00AB08E1" w:rsidP="00AB08E1">
            <w:pPr>
              <w:rPr>
                <w:rFonts w:asciiTheme="minorHAnsi" w:hAnsiTheme="minorHAnsi" w:cstheme="minorHAnsi"/>
                <w:szCs w:val="24"/>
                <w:lang w:val="en-GB" w:eastAsia="en-GB"/>
              </w:rPr>
            </w:pPr>
            <w:r w:rsidRPr="005F4AB5">
              <w:rPr>
                <w:rFonts w:asciiTheme="minorHAnsi" w:hAnsiTheme="minorHAnsi" w:cstheme="minorHAnsi"/>
                <w:szCs w:val="24"/>
                <w:lang w:val="en-GB" w:eastAsia="en-GB"/>
              </w:rPr>
              <w:t>718</w:t>
            </w:r>
          </w:p>
        </w:tc>
        <w:tc>
          <w:tcPr>
            <w:tcW w:w="3260" w:type="dxa"/>
            <w:tcBorders>
              <w:top w:val="single" w:sz="6" w:space="0" w:color="000000"/>
              <w:left w:val="single" w:sz="6" w:space="0" w:color="000000"/>
              <w:bottom w:val="single" w:sz="6" w:space="0" w:color="000000"/>
              <w:right w:val="single" w:sz="6" w:space="0" w:color="000000"/>
            </w:tcBorders>
          </w:tcPr>
          <w:p w14:paraId="32BB1C8D" w14:textId="02EEF5D1" w:rsidR="00AB08E1" w:rsidRPr="005F4AB5" w:rsidRDefault="00AB08E1" w:rsidP="00AB08E1">
            <w:pPr>
              <w:rPr>
                <w:rFonts w:asciiTheme="minorHAnsi" w:hAnsiTheme="minorHAnsi" w:cstheme="minorHAnsi"/>
                <w:szCs w:val="24"/>
                <w:lang w:val="en-GB" w:eastAsia="en-GB"/>
              </w:rPr>
            </w:pPr>
            <w:r w:rsidRPr="005F4AB5">
              <w:rPr>
                <w:rFonts w:asciiTheme="minorHAnsi" w:eastAsia="Times New Roman" w:hAnsiTheme="minorHAnsi" w:cstheme="minorHAnsi"/>
                <w:bCs/>
                <w:szCs w:val="24"/>
              </w:rPr>
              <w:t>420 (+529 from JCS) =</w:t>
            </w:r>
            <w:r w:rsidR="00DF7F91" w:rsidRPr="005F4AB5">
              <w:rPr>
                <w:rFonts w:asciiTheme="minorHAnsi" w:eastAsia="Times New Roman" w:hAnsiTheme="minorHAnsi" w:cstheme="minorHAnsi"/>
                <w:bCs/>
                <w:szCs w:val="24"/>
              </w:rPr>
              <w:t xml:space="preserve"> 949</w:t>
            </w:r>
          </w:p>
        </w:tc>
        <w:tc>
          <w:tcPr>
            <w:tcW w:w="2410" w:type="dxa"/>
            <w:tcBorders>
              <w:top w:val="single" w:sz="6" w:space="0" w:color="000000"/>
              <w:left w:val="single" w:sz="6" w:space="0" w:color="000000"/>
              <w:bottom w:val="single" w:sz="6" w:space="0" w:color="000000"/>
              <w:right w:val="single" w:sz="6" w:space="0" w:color="000000"/>
            </w:tcBorders>
          </w:tcPr>
          <w:p w14:paraId="4F4329C2" w14:textId="534F915E" w:rsidR="00AB08E1" w:rsidRPr="005F4AB5" w:rsidRDefault="00DF7F91" w:rsidP="00AB08E1">
            <w:pPr>
              <w:rPr>
                <w:rFonts w:asciiTheme="minorHAnsi" w:hAnsiTheme="minorHAnsi" w:cstheme="minorHAnsi"/>
                <w:szCs w:val="24"/>
                <w:lang w:val="en-GB" w:eastAsia="en-GB"/>
              </w:rPr>
            </w:pPr>
            <w:r w:rsidRPr="005F4AB5">
              <w:rPr>
                <w:rFonts w:asciiTheme="minorHAnsi" w:hAnsiTheme="minorHAnsi" w:cstheme="minorHAnsi"/>
                <w:szCs w:val="24"/>
                <w:lang w:val="en-GB" w:eastAsia="en-GB"/>
              </w:rPr>
              <w:t>231</w:t>
            </w:r>
          </w:p>
        </w:tc>
      </w:tr>
      <w:tr w:rsidR="009E4CF0" w:rsidRPr="005F4AB5" w14:paraId="5359DE5E" w14:textId="77777777" w:rsidTr="00DF7F91">
        <w:trPr>
          <w:trHeight w:val="285"/>
        </w:trPr>
        <w:tc>
          <w:tcPr>
            <w:tcW w:w="1035" w:type="dxa"/>
            <w:tcBorders>
              <w:top w:val="single" w:sz="6" w:space="0" w:color="000000"/>
              <w:left w:val="single" w:sz="6" w:space="0" w:color="000000"/>
              <w:bottom w:val="single" w:sz="6" w:space="0" w:color="000000"/>
              <w:right w:val="single" w:sz="6" w:space="0" w:color="000000"/>
            </w:tcBorders>
            <w:hideMark/>
          </w:tcPr>
          <w:p w14:paraId="1C3BEC81" w14:textId="77777777" w:rsidR="00AB08E1" w:rsidRPr="005F4AB5" w:rsidRDefault="00AB08E1" w:rsidP="00AB08E1">
            <w:pPr>
              <w:rPr>
                <w:rFonts w:asciiTheme="minorHAnsi" w:hAnsiTheme="minorHAnsi" w:cstheme="minorHAnsi"/>
                <w:szCs w:val="24"/>
                <w:lang w:val="en-GB" w:eastAsia="en-GB"/>
              </w:rPr>
            </w:pPr>
            <w:r w:rsidRPr="005F4AB5">
              <w:rPr>
                <w:rFonts w:asciiTheme="minorHAnsi" w:hAnsiTheme="minorHAnsi" w:cstheme="minorHAnsi"/>
                <w:szCs w:val="24"/>
                <w:lang w:eastAsia="en-GB"/>
              </w:rPr>
              <w:t>2022/23</w:t>
            </w:r>
            <w:r w:rsidRPr="005F4AB5">
              <w:rPr>
                <w:rFonts w:asciiTheme="minorHAnsi" w:hAnsiTheme="minorHAnsi" w:cstheme="minorHAnsi"/>
                <w:szCs w:val="24"/>
                <w:lang w:val="en-GB" w:eastAsia="en-GB"/>
              </w:rPr>
              <w:t> </w:t>
            </w:r>
          </w:p>
        </w:tc>
        <w:tc>
          <w:tcPr>
            <w:tcW w:w="1706" w:type="dxa"/>
            <w:tcBorders>
              <w:top w:val="single" w:sz="6" w:space="0" w:color="000000"/>
              <w:left w:val="single" w:sz="6" w:space="0" w:color="000000"/>
              <w:bottom w:val="single" w:sz="6" w:space="0" w:color="000000"/>
              <w:right w:val="single" w:sz="6" w:space="0" w:color="000000"/>
            </w:tcBorders>
          </w:tcPr>
          <w:p w14:paraId="41ECC636" w14:textId="02D330A9" w:rsidR="00AB08E1" w:rsidRPr="005F4AB5" w:rsidRDefault="00AB08E1" w:rsidP="00AB08E1">
            <w:pPr>
              <w:rPr>
                <w:rFonts w:asciiTheme="minorHAnsi" w:hAnsiTheme="minorHAnsi" w:cstheme="minorHAnsi"/>
                <w:szCs w:val="24"/>
                <w:lang w:val="en-GB" w:eastAsia="en-GB"/>
              </w:rPr>
            </w:pPr>
            <w:r w:rsidRPr="005F4AB5">
              <w:rPr>
                <w:rFonts w:asciiTheme="minorHAnsi" w:hAnsiTheme="minorHAnsi" w:cstheme="minorHAnsi"/>
                <w:szCs w:val="24"/>
                <w:lang w:val="en-GB" w:eastAsia="en-GB"/>
              </w:rPr>
              <w:t>670</w:t>
            </w:r>
          </w:p>
        </w:tc>
        <w:tc>
          <w:tcPr>
            <w:tcW w:w="3260" w:type="dxa"/>
            <w:tcBorders>
              <w:top w:val="single" w:sz="6" w:space="0" w:color="000000"/>
              <w:left w:val="single" w:sz="6" w:space="0" w:color="000000"/>
              <w:bottom w:val="single" w:sz="6" w:space="0" w:color="000000"/>
              <w:right w:val="single" w:sz="6" w:space="0" w:color="000000"/>
            </w:tcBorders>
          </w:tcPr>
          <w:p w14:paraId="337CEC0C" w14:textId="398C1A5F" w:rsidR="00AB08E1" w:rsidRPr="005F4AB5" w:rsidRDefault="00AB08E1" w:rsidP="00AB08E1">
            <w:pPr>
              <w:rPr>
                <w:rFonts w:asciiTheme="minorHAnsi" w:hAnsiTheme="minorHAnsi" w:cstheme="minorHAnsi"/>
                <w:szCs w:val="24"/>
                <w:lang w:val="en-GB" w:eastAsia="en-GB"/>
              </w:rPr>
            </w:pPr>
            <w:r w:rsidRPr="005F4AB5">
              <w:rPr>
                <w:rFonts w:asciiTheme="minorHAnsi" w:eastAsia="Times New Roman" w:hAnsiTheme="minorHAnsi" w:cstheme="minorHAnsi"/>
                <w:bCs/>
                <w:szCs w:val="24"/>
              </w:rPr>
              <w:t xml:space="preserve">534 (+820 from JCS) = </w:t>
            </w:r>
            <w:r w:rsidR="00DF7F91" w:rsidRPr="005F4AB5">
              <w:rPr>
                <w:rFonts w:asciiTheme="minorHAnsi" w:eastAsia="Times New Roman" w:hAnsiTheme="minorHAnsi" w:cstheme="minorHAnsi"/>
                <w:bCs/>
                <w:szCs w:val="24"/>
              </w:rPr>
              <w:t>1,354</w:t>
            </w:r>
          </w:p>
        </w:tc>
        <w:tc>
          <w:tcPr>
            <w:tcW w:w="2410" w:type="dxa"/>
            <w:tcBorders>
              <w:top w:val="single" w:sz="6" w:space="0" w:color="000000"/>
              <w:left w:val="single" w:sz="6" w:space="0" w:color="000000"/>
              <w:bottom w:val="single" w:sz="6" w:space="0" w:color="000000"/>
              <w:right w:val="single" w:sz="6" w:space="0" w:color="000000"/>
            </w:tcBorders>
          </w:tcPr>
          <w:p w14:paraId="5A784773" w14:textId="6459F2E7" w:rsidR="00AB08E1" w:rsidRPr="005F4AB5" w:rsidRDefault="00E04696" w:rsidP="00AB08E1">
            <w:pPr>
              <w:rPr>
                <w:rFonts w:asciiTheme="minorHAnsi" w:hAnsiTheme="minorHAnsi" w:cstheme="minorHAnsi"/>
                <w:szCs w:val="24"/>
                <w:lang w:val="en-GB" w:eastAsia="en-GB"/>
              </w:rPr>
            </w:pPr>
            <w:r w:rsidRPr="005F4AB5">
              <w:rPr>
                <w:rFonts w:asciiTheme="minorHAnsi" w:hAnsiTheme="minorHAnsi" w:cstheme="minorHAnsi"/>
                <w:szCs w:val="24"/>
                <w:lang w:val="en-GB" w:eastAsia="en-GB"/>
              </w:rPr>
              <w:t>684</w:t>
            </w:r>
          </w:p>
        </w:tc>
      </w:tr>
      <w:tr w:rsidR="009E4CF0" w:rsidRPr="005F4AB5" w14:paraId="55ED1815" w14:textId="77777777" w:rsidTr="00DF7F91">
        <w:trPr>
          <w:trHeight w:val="285"/>
        </w:trPr>
        <w:tc>
          <w:tcPr>
            <w:tcW w:w="1035" w:type="dxa"/>
            <w:tcBorders>
              <w:top w:val="single" w:sz="6" w:space="0" w:color="000000"/>
              <w:left w:val="single" w:sz="6" w:space="0" w:color="000000"/>
              <w:bottom w:val="single" w:sz="6" w:space="0" w:color="000000"/>
              <w:right w:val="single" w:sz="6" w:space="0" w:color="000000"/>
            </w:tcBorders>
            <w:hideMark/>
          </w:tcPr>
          <w:p w14:paraId="39B4A2F3" w14:textId="263B03DF" w:rsidR="00AB08E1" w:rsidRPr="005F4AB5" w:rsidRDefault="00AB08E1" w:rsidP="00AB08E1">
            <w:pPr>
              <w:rPr>
                <w:rFonts w:asciiTheme="minorHAnsi" w:hAnsiTheme="minorHAnsi" w:cstheme="minorHAnsi"/>
                <w:szCs w:val="24"/>
                <w:lang w:val="en-GB" w:eastAsia="en-GB"/>
              </w:rPr>
            </w:pPr>
            <w:r w:rsidRPr="005F4AB5">
              <w:rPr>
                <w:rFonts w:asciiTheme="minorHAnsi" w:hAnsiTheme="minorHAnsi" w:cstheme="minorHAnsi"/>
                <w:szCs w:val="24"/>
                <w:lang w:eastAsia="en-GB"/>
              </w:rPr>
              <w:t>2023/24</w:t>
            </w:r>
            <w:r w:rsidRPr="005F4AB5">
              <w:rPr>
                <w:rFonts w:asciiTheme="minorHAnsi" w:hAnsiTheme="minorHAnsi" w:cstheme="minorHAnsi"/>
                <w:szCs w:val="24"/>
                <w:lang w:val="en-GB" w:eastAsia="en-GB"/>
              </w:rPr>
              <w:t> </w:t>
            </w:r>
          </w:p>
        </w:tc>
        <w:tc>
          <w:tcPr>
            <w:tcW w:w="1706" w:type="dxa"/>
            <w:tcBorders>
              <w:top w:val="single" w:sz="6" w:space="0" w:color="000000"/>
              <w:left w:val="single" w:sz="6" w:space="0" w:color="000000"/>
              <w:bottom w:val="single" w:sz="6" w:space="0" w:color="000000"/>
              <w:right w:val="single" w:sz="6" w:space="0" w:color="000000"/>
            </w:tcBorders>
          </w:tcPr>
          <w:p w14:paraId="61DC2635" w14:textId="36D2E425" w:rsidR="00AB08E1" w:rsidRPr="005F4AB5" w:rsidRDefault="00AB08E1" w:rsidP="00AB08E1">
            <w:pPr>
              <w:rPr>
                <w:rFonts w:asciiTheme="minorHAnsi" w:hAnsiTheme="minorHAnsi" w:cstheme="minorHAnsi"/>
                <w:szCs w:val="24"/>
                <w:lang w:val="en-GB" w:eastAsia="en-GB"/>
              </w:rPr>
            </w:pPr>
            <w:r w:rsidRPr="005F4AB5">
              <w:rPr>
                <w:rFonts w:asciiTheme="minorHAnsi" w:hAnsiTheme="minorHAnsi" w:cstheme="minorHAnsi"/>
                <w:szCs w:val="24"/>
                <w:lang w:val="en-GB" w:eastAsia="en-GB"/>
              </w:rPr>
              <w:t>663</w:t>
            </w:r>
          </w:p>
        </w:tc>
        <w:tc>
          <w:tcPr>
            <w:tcW w:w="3260" w:type="dxa"/>
            <w:tcBorders>
              <w:top w:val="single" w:sz="6" w:space="0" w:color="000000"/>
              <w:left w:val="single" w:sz="6" w:space="0" w:color="000000"/>
              <w:bottom w:val="single" w:sz="6" w:space="0" w:color="000000"/>
              <w:right w:val="single" w:sz="6" w:space="0" w:color="000000"/>
            </w:tcBorders>
          </w:tcPr>
          <w:p w14:paraId="55B2A89A" w14:textId="28BCC570" w:rsidR="00AB08E1" w:rsidRPr="005F4AB5" w:rsidRDefault="00AB08E1" w:rsidP="00AB08E1">
            <w:pPr>
              <w:rPr>
                <w:rFonts w:asciiTheme="minorHAnsi" w:hAnsiTheme="minorHAnsi" w:cstheme="minorHAnsi"/>
                <w:szCs w:val="24"/>
                <w:lang w:val="en-GB" w:eastAsia="en-GB"/>
              </w:rPr>
            </w:pPr>
            <w:r w:rsidRPr="005F4AB5">
              <w:rPr>
                <w:rFonts w:asciiTheme="minorHAnsi" w:eastAsia="Times New Roman" w:hAnsiTheme="minorHAnsi" w:cstheme="minorHAnsi"/>
                <w:bCs/>
                <w:szCs w:val="24"/>
              </w:rPr>
              <w:t xml:space="preserve">366 (+525 from JCS) = </w:t>
            </w:r>
            <w:r w:rsidR="00DF7F91" w:rsidRPr="005F4AB5">
              <w:rPr>
                <w:rFonts w:asciiTheme="minorHAnsi" w:eastAsia="Times New Roman" w:hAnsiTheme="minorHAnsi" w:cstheme="minorHAnsi"/>
                <w:bCs/>
                <w:szCs w:val="24"/>
              </w:rPr>
              <w:t>891</w:t>
            </w:r>
          </w:p>
        </w:tc>
        <w:tc>
          <w:tcPr>
            <w:tcW w:w="2410" w:type="dxa"/>
            <w:tcBorders>
              <w:top w:val="single" w:sz="6" w:space="0" w:color="000000"/>
              <w:left w:val="single" w:sz="6" w:space="0" w:color="000000"/>
              <w:bottom w:val="single" w:sz="6" w:space="0" w:color="000000"/>
              <w:right w:val="single" w:sz="6" w:space="0" w:color="000000"/>
            </w:tcBorders>
          </w:tcPr>
          <w:p w14:paraId="41FB049F" w14:textId="09C94BA4" w:rsidR="00AB08E1" w:rsidRPr="005F4AB5" w:rsidRDefault="00E04696" w:rsidP="00AB08E1">
            <w:pPr>
              <w:rPr>
                <w:rFonts w:asciiTheme="minorHAnsi" w:hAnsiTheme="minorHAnsi" w:cstheme="minorHAnsi"/>
                <w:szCs w:val="24"/>
                <w:lang w:val="en-GB" w:eastAsia="en-GB"/>
              </w:rPr>
            </w:pPr>
            <w:r w:rsidRPr="005F4AB5">
              <w:rPr>
                <w:rFonts w:asciiTheme="minorHAnsi" w:hAnsiTheme="minorHAnsi" w:cstheme="minorHAnsi"/>
                <w:szCs w:val="24"/>
                <w:lang w:val="en-GB" w:eastAsia="en-GB"/>
              </w:rPr>
              <w:t>228</w:t>
            </w:r>
          </w:p>
        </w:tc>
      </w:tr>
      <w:tr w:rsidR="009E4CF0" w:rsidRPr="005F4AB5" w14:paraId="3D2B68E9" w14:textId="77777777" w:rsidTr="00DF7F91">
        <w:trPr>
          <w:trHeight w:val="285"/>
        </w:trPr>
        <w:tc>
          <w:tcPr>
            <w:tcW w:w="1035" w:type="dxa"/>
            <w:tcBorders>
              <w:top w:val="single" w:sz="6" w:space="0" w:color="000000"/>
              <w:left w:val="single" w:sz="6" w:space="0" w:color="000000"/>
              <w:bottom w:val="single" w:sz="6" w:space="0" w:color="000000"/>
              <w:right w:val="single" w:sz="6" w:space="0" w:color="000000"/>
            </w:tcBorders>
          </w:tcPr>
          <w:p w14:paraId="3E7A352A" w14:textId="78A5A5DE" w:rsidR="00AB08E1" w:rsidRPr="005F4AB5" w:rsidRDefault="00AB08E1" w:rsidP="00AB08E1">
            <w:pPr>
              <w:rPr>
                <w:rFonts w:asciiTheme="minorHAnsi" w:hAnsiTheme="minorHAnsi" w:cstheme="minorHAnsi"/>
                <w:szCs w:val="24"/>
                <w:lang w:eastAsia="en-GB"/>
              </w:rPr>
            </w:pPr>
            <w:r w:rsidRPr="005F4AB5">
              <w:rPr>
                <w:rFonts w:asciiTheme="minorHAnsi" w:hAnsiTheme="minorHAnsi" w:cstheme="minorHAnsi"/>
                <w:szCs w:val="24"/>
                <w:lang w:eastAsia="en-GB"/>
              </w:rPr>
              <w:t>2024/25</w:t>
            </w:r>
          </w:p>
        </w:tc>
        <w:tc>
          <w:tcPr>
            <w:tcW w:w="1706" w:type="dxa"/>
            <w:tcBorders>
              <w:top w:val="single" w:sz="6" w:space="0" w:color="000000"/>
              <w:left w:val="single" w:sz="6" w:space="0" w:color="000000"/>
              <w:bottom w:val="single" w:sz="6" w:space="0" w:color="000000"/>
              <w:right w:val="single" w:sz="6" w:space="0" w:color="000000"/>
            </w:tcBorders>
          </w:tcPr>
          <w:p w14:paraId="715650F7" w14:textId="7551D4E0" w:rsidR="00AB08E1" w:rsidRPr="005F4AB5" w:rsidRDefault="00AB08E1" w:rsidP="00AB08E1">
            <w:pPr>
              <w:rPr>
                <w:rFonts w:asciiTheme="minorHAnsi" w:hAnsiTheme="minorHAnsi" w:cstheme="minorHAnsi"/>
                <w:szCs w:val="24"/>
                <w:lang w:val="en-GB" w:eastAsia="en-GB"/>
              </w:rPr>
            </w:pPr>
            <w:r w:rsidRPr="005F4AB5">
              <w:rPr>
                <w:rFonts w:asciiTheme="minorHAnsi" w:hAnsiTheme="minorHAnsi" w:cstheme="minorHAnsi"/>
                <w:szCs w:val="24"/>
                <w:lang w:val="en-GB" w:eastAsia="en-GB"/>
              </w:rPr>
              <w:t>700</w:t>
            </w:r>
          </w:p>
        </w:tc>
        <w:tc>
          <w:tcPr>
            <w:tcW w:w="3260" w:type="dxa"/>
            <w:tcBorders>
              <w:top w:val="single" w:sz="6" w:space="0" w:color="000000"/>
              <w:left w:val="single" w:sz="6" w:space="0" w:color="000000"/>
              <w:bottom w:val="single" w:sz="6" w:space="0" w:color="000000"/>
              <w:right w:val="single" w:sz="6" w:space="0" w:color="000000"/>
            </w:tcBorders>
          </w:tcPr>
          <w:p w14:paraId="176D033A" w14:textId="0637EF75" w:rsidR="00AB08E1" w:rsidRPr="005F4AB5" w:rsidRDefault="00AB08E1" w:rsidP="00AB08E1">
            <w:pPr>
              <w:rPr>
                <w:rFonts w:asciiTheme="minorHAnsi" w:hAnsiTheme="minorHAnsi" w:cstheme="minorHAnsi"/>
                <w:szCs w:val="24"/>
                <w:lang w:val="en-GB" w:eastAsia="en-GB"/>
              </w:rPr>
            </w:pPr>
            <w:r w:rsidRPr="005F4AB5">
              <w:rPr>
                <w:rFonts w:asciiTheme="minorHAnsi" w:hAnsiTheme="minorHAnsi" w:cstheme="minorHAnsi"/>
                <w:szCs w:val="24"/>
                <w:lang w:val="en-GB" w:eastAsia="en-GB"/>
              </w:rPr>
              <w:t>3</w:t>
            </w:r>
            <w:r w:rsidR="00B06840" w:rsidRPr="005F4AB5">
              <w:rPr>
                <w:rFonts w:asciiTheme="minorHAnsi" w:hAnsiTheme="minorHAnsi" w:cstheme="minorHAnsi"/>
                <w:szCs w:val="24"/>
                <w:lang w:val="en-GB" w:eastAsia="en-GB"/>
              </w:rPr>
              <w:t xml:space="preserve">76 </w:t>
            </w:r>
            <w:r w:rsidRPr="005F4AB5">
              <w:rPr>
                <w:rFonts w:asciiTheme="minorHAnsi" w:hAnsiTheme="minorHAnsi" w:cstheme="minorHAnsi"/>
                <w:szCs w:val="24"/>
                <w:lang w:val="en-GB" w:eastAsia="en-GB"/>
              </w:rPr>
              <w:t xml:space="preserve">(+ </w:t>
            </w:r>
            <w:r w:rsidR="00B06840" w:rsidRPr="005F4AB5">
              <w:rPr>
                <w:rFonts w:asciiTheme="minorHAnsi" w:hAnsiTheme="minorHAnsi" w:cstheme="minorHAnsi"/>
                <w:szCs w:val="24"/>
                <w:lang w:val="en-GB" w:eastAsia="en-GB"/>
              </w:rPr>
              <w:t xml:space="preserve">850 </w:t>
            </w:r>
            <w:r w:rsidRPr="005F4AB5">
              <w:rPr>
                <w:rFonts w:asciiTheme="minorHAnsi" w:hAnsiTheme="minorHAnsi" w:cstheme="minorHAnsi"/>
                <w:szCs w:val="24"/>
                <w:lang w:val="en-GB" w:eastAsia="en-GB"/>
              </w:rPr>
              <w:t xml:space="preserve">from JCS) = </w:t>
            </w:r>
            <w:r w:rsidR="00B06840" w:rsidRPr="005F4AB5">
              <w:rPr>
                <w:rFonts w:asciiTheme="minorHAnsi" w:hAnsiTheme="minorHAnsi" w:cstheme="minorHAnsi"/>
                <w:szCs w:val="24"/>
                <w:lang w:val="en-GB" w:eastAsia="en-GB"/>
              </w:rPr>
              <w:t>1,226</w:t>
            </w:r>
          </w:p>
        </w:tc>
        <w:tc>
          <w:tcPr>
            <w:tcW w:w="2410" w:type="dxa"/>
            <w:tcBorders>
              <w:top w:val="single" w:sz="6" w:space="0" w:color="000000"/>
              <w:left w:val="single" w:sz="6" w:space="0" w:color="000000"/>
              <w:bottom w:val="single" w:sz="6" w:space="0" w:color="000000"/>
              <w:right w:val="single" w:sz="6" w:space="0" w:color="000000"/>
            </w:tcBorders>
          </w:tcPr>
          <w:p w14:paraId="4C218656" w14:textId="2086FFD4" w:rsidR="00AB08E1" w:rsidRPr="005F4AB5" w:rsidRDefault="00B06840" w:rsidP="00AB08E1">
            <w:pPr>
              <w:rPr>
                <w:rFonts w:asciiTheme="minorHAnsi" w:hAnsiTheme="minorHAnsi" w:cstheme="minorHAnsi"/>
                <w:szCs w:val="24"/>
                <w:lang w:val="en-GB" w:eastAsia="en-GB"/>
              </w:rPr>
            </w:pPr>
            <w:r w:rsidRPr="005F4AB5">
              <w:rPr>
                <w:rFonts w:asciiTheme="minorHAnsi" w:hAnsiTheme="minorHAnsi" w:cstheme="minorHAnsi"/>
                <w:szCs w:val="24"/>
                <w:lang w:val="en-GB" w:eastAsia="en-GB"/>
              </w:rPr>
              <w:t>526</w:t>
            </w:r>
          </w:p>
        </w:tc>
      </w:tr>
      <w:tr w:rsidR="009E4CF0" w:rsidRPr="005F4AB5" w14:paraId="1481F776" w14:textId="77777777" w:rsidTr="00DF7F91">
        <w:trPr>
          <w:trHeight w:val="285"/>
        </w:trPr>
        <w:tc>
          <w:tcPr>
            <w:tcW w:w="1035" w:type="dxa"/>
            <w:tcBorders>
              <w:top w:val="single" w:sz="6" w:space="0" w:color="000000"/>
              <w:left w:val="single" w:sz="6" w:space="0" w:color="000000"/>
              <w:bottom w:val="single" w:sz="6" w:space="0" w:color="000000"/>
              <w:right w:val="single" w:sz="6" w:space="0" w:color="000000"/>
            </w:tcBorders>
            <w:hideMark/>
          </w:tcPr>
          <w:p w14:paraId="03C1D30C" w14:textId="77777777" w:rsidR="00AB08E1" w:rsidRPr="005F4AB5" w:rsidRDefault="00AB08E1" w:rsidP="00AB08E1">
            <w:pPr>
              <w:rPr>
                <w:rFonts w:asciiTheme="minorHAnsi" w:hAnsiTheme="minorHAnsi" w:cstheme="minorHAnsi"/>
                <w:b/>
                <w:bCs/>
                <w:szCs w:val="24"/>
                <w:lang w:val="en-GB" w:eastAsia="en-GB"/>
              </w:rPr>
            </w:pPr>
            <w:r w:rsidRPr="005F4AB5">
              <w:rPr>
                <w:rFonts w:asciiTheme="minorHAnsi" w:hAnsiTheme="minorHAnsi" w:cstheme="minorHAnsi"/>
                <w:b/>
                <w:bCs/>
                <w:szCs w:val="24"/>
                <w:lang w:eastAsia="en-GB"/>
              </w:rPr>
              <w:t>Total</w:t>
            </w:r>
            <w:r w:rsidRPr="005F4AB5">
              <w:rPr>
                <w:rFonts w:asciiTheme="minorHAnsi" w:hAnsiTheme="minorHAnsi" w:cstheme="minorHAnsi"/>
                <w:b/>
                <w:bCs/>
                <w:szCs w:val="24"/>
                <w:lang w:val="en-GB" w:eastAsia="en-GB"/>
              </w:rPr>
              <w:t> </w:t>
            </w:r>
          </w:p>
        </w:tc>
        <w:tc>
          <w:tcPr>
            <w:tcW w:w="1706" w:type="dxa"/>
            <w:tcBorders>
              <w:top w:val="single" w:sz="6" w:space="0" w:color="000000"/>
              <w:left w:val="single" w:sz="6" w:space="0" w:color="000000"/>
              <w:bottom w:val="single" w:sz="6" w:space="0" w:color="000000"/>
              <w:right w:val="single" w:sz="6" w:space="0" w:color="000000"/>
            </w:tcBorders>
          </w:tcPr>
          <w:p w14:paraId="3DCA18AD" w14:textId="4BFA06ED" w:rsidR="00AB08E1" w:rsidRPr="005F4AB5" w:rsidRDefault="00AB08E1" w:rsidP="00AB08E1">
            <w:pPr>
              <w:rPr>
                <w:rFonts w:asciiTheme="minorHAnsi" w:hAnsiTheme="minorHAnsi" w:cstheme="minorHAnsi"/>
                <w:b/>
                <w:bCs/>
                <w:szCs w:val="24"/>
                <w:lang w:val="en-GB" w:eastAsia="en-GB"/>
              </w:rPr>
            </w:pPr>
            <w:r w:rsidRPr="005F4AB5">
              <w:rPr>
                <w:rFonts w:asciiTheme="minorHAnsi" w:hAnsiTheme="minorHAnsi" w:cstheme="minorHAnsi"/>
                <w:b/>
                <w:bCs/>
                <w:szCs w:val="24"/>
                <w:lang w:val="en-GB" w:eastAsia="en-GB"/>
              </w:rPr>
              <w:t>9</w:t>
            </w:r>
            <w:r w:rsidR="00B06840" w:rsidRPr="005F4AB5">
              <w:rPr>
                <w:rFonts w:asciiTheme="minorHAnsi" w:hAnsiTheme="minorHAnsi" w:cstheme="minorHAnsi"/>
                <w:b/>
                <w:bCs/>
                <w:szCs w:val="24"/>
                <w:lang w:val="en-GB" w:eastAsia="en-GB"/>
              </w:rPr>
              <w:t>,</w:t>
            </w:r>
            <w:r w:rsidRPr="005F4AB5">
              <w:rPr>
                <w:rFonts w:asciiTheme="minorHAnsi" w:hAnsiTheme="minorHAnsi" w:cstheme="minorHAnsi"/>
                <w:b/>
                <w:bCs/>
                <w:szCs w:val="24"/>
                <w:lang w:val="en-GB" w:eastAsia="en-GB"/>
              </w:rPr>
              <w:t>931</w:t>
            </w:r>
          </w:p>
        </w:tc>
        <w:tc>
          <w:tcPr>
            <w:tcW w:w="3260" w:type="dxa"/>
            <w:tcBorders>
              <w:top w:val="single" w:sz="6" w:space="0" w:color="000000"/>
              <w:left w:val="single" w:sz="6" w:space="0" w:color="000000"/>
              <w:bottom w:val="single" w:sz="6" w:space="0" w:color="000000"/>
              <w:right w:val="single" w:sz="6" w:space="0" w:color="000000"/>
            </w:tcBorders>
          </w:tcPr>
          <w:p w14:paraId="0D2169DC" w14:textId="51E89BBF" w:rsidR="00AB08E1" w:rsidRPr="005F4AB5" w:rsidRDefault="00B06840" w:rsidP="00AB08E1">
            <w:pPr>
              <w:tabs>
                <w:tab w:val="center" w:pos="1140"/>
              </w:tabs>
              <w:rPr>
                <w:rFonts w:asciiTheme="minorHAnsi" w:hAnsiTheme="minorHAnsi" w:cstheme="minorHAnsi"/>
                <w:b/>
                <w:bCs/>
                <w:szCs w:val="24"/>
                <w:lang w:val="en-GB" w:eastAsia="en-GB"/>
              </w:rPr>
            </w:pPr>
            <w:r w:rsidRPr="005F4AB5">
              <w:rPr>
                <w:rFonts w:asciiTheme="minorHAnsi" w:hAnsiTheme="minorHAnsi" w:cstheme="minorHAnsi"/>
                <w:b/>
                <w:bCs/>
                <w:szCs w:val="24"/>
                <w:lang w:val="en-GB" w:eastAsia="en-GB"/>
              </w:rPr>
              <w:t>9,625</w:t>
            </w:r>
          </w:p>
        </w:tc>
        <w:tc>
          <w:tcPr>
            <w:tcW w:w="2410" w:type="dxa"/>
            <w:tcBorders>
              <w:top w:val="single" w:sz="6" w:space="0" w:color="000000"/>
              <w:left w:val="single" w:sz="6" w:space="0" w:color="000000"/>
              <w:bottom w:val="single" w:sz="6" w:space="0" w:color="000000"/>
              <w:right w:val="single" w:sz="6" w:space="0" w:color="000000"/>
            </w:tcBorders>
          </w:tcPr>
          <w:p w14:paraId="55E6DB90" w14:textId="7C0DA07D" w:rsidR="00AB08E1" w:rsidRPr="005F4AB5" w:rsidRDefault="00B06840" w:rsidP="00AB08E1">
            <w:pPr>
              <w:rPr>
                <w:rFonts w:asciiTheme="minorHAnsi" w:hAnsiTheme="minorHAnsi" w:cstheme="minorHAnsi"/>
                <w:b/>
                <w:bCs/>
                <w:szCs w:val="24"/>
                <w:lang w:val="en-GB" w:eastAsia="en-GB"/>
              </w:rPr>
            </w:pPr>
            <w:r w:rsidRPr="005F4AB5">
              <w:rPr>
                <w:rFonts w:asciiTheme="minorHAnsi" w:hAnsiTheme="minorHAnsi" w:cstheme="minorHAnsi"/>
                <w:b/>
                <w:bCs/>
                <w:szCs w:val="24"/>
                <w:lang w:val="en-GB" w:eastAsia="en-GB"/>
              </w:rPr>
              <w:t>-306</w:t>
            </w:r>
          </w:p>
        </w:tc>
      </w:tr>
    </w:tbl>
    <w:p w14:paraId="14C101CC" w14:textId="69C13E8E" w:rsidR="00E8199A" w:rsidRPr="005F4AB5" w:rsidRDefault="00E8199A" w:rsidP="000D58DB">
      <w:pPr>
        <w:rPr>
          <w:rFonts w:ascii="Arial MT" w:eastAsia="Times New Roman" w:hAnsi="Arial MT" w:cs="Segoe UI"/>
          <w:lang w:val="en-GB" w:eastAsia="en-GB"/>
        </w:rPr>
      </w:pPr>
      <w:r w:rsidRPr="005F4AB5">
        <w:rPr>
          <w:rFonts w:ascii="Arial MT" w:eastAsia="Times New Roman" w:hAnsi="Arial MT" w:cs="Segoe UI"/>
          <w:lang w:val="en-GB" w:eastAsia="en-GB"/>
        </w:rPr>
        <w:t xml:space="preserve">  </w:t>
      </w:r>
    </w:p>
    <w:p w14:paraId="3589AD45" w14:textId="77777777" w:rsidR="00E8199A" w:rsidRPr="005F4AB5" w:rsidRDefault="00E8199A">
      <w:pPr>
        <w:rPr>
          <w:rFonts w:ascii="Arial MT" w:eastAsia="Times New Roman" w:hAnsi="Arial MT" w:cs="Segoe UI"/>
          <w:lang w:val="en-GB" w:eastAsia="en-GB"/>
        </w:rPr>
      </w:pPr>
      <w:r w:rsidRPr="005F4AB5">
        <w:rPr>
          <w:rFonts w:ascii="Arial MT" w:eastAsia="Times New Roman" w:hAnsi="Arial MT" w:cs="Segoe UI"/>
          <w:lang w:val="en-GB" w:eastAsia="en-GB"/>
        </w:rPr>
        <w:br w:type="page"/>
      </w:r>
    </w:p>
    <w:p w14:paraId="73E66BC4" w14:textId="77777777" w:rsidR="00F15881" w:rsidRPr="005F4AB5" w:rsidRDefault="00F15881" w:rsidP="000D58DB">
      <w:pPr>
        <w:rPr>
          <w:rFonts w:ascii="Arial MT" w:eastAsia="Times New Roman" w:hAnsi="Arial MT" w:cs="Segoe UI"/>
          <w:lang w:val="en-GB" w:eastAsia="en-GB"/>
        </w:rPr>
        <w:sectPr w:rsidR="00F15881" w:rsidRPr="005F4AB5" w:rsidSect="00AF4F5D">
          <w:footerReference w:type="default" r:id="rId16"/>
          <w:endnotePr>
            <w:numFmt w:val="chicago"/>
          </w:endnotePr>
          <w:pgSz w:w="11910" w:h="16840"/>
          <w:pgMar w:top="1340" w:right="1120" w:bottom="993" w:left="1120" w:header="0" w:footer="260" w:gutter="0"/>
          <w:cols w:space="720"/>
          <w:docGrid w:linePitch="299"/>
        </w:sectPr>
      </w:pPr>
    </w:p>
    <w:p w14:paraId="766C5844" w14:textId="01264D7D" w:rsidR="00865B58" w:rsidRPr="005F4AB5" w:rsidRDefault="00BB2B04" w:rsidP="0084751A">
      <w:pPr>
        <w:pStyle w:val="Heading2"/>
        <w:ind w:hanging="720"/>
        <w:rPr>
          <w:color w:val="auto"/>
        </w:rPr>
      </w:pPr>
      <w:bookmarkStart w:id="30" w:name="_Toc210303293"/>
      <w:bookmarkStart w:id="31" w:name="_Toc210308084"/>
      <w:bookmarkEnd w:id="25"/>
      <w:bookmarkEnd w:id="26"/>
      <w:r w:rsidRPr="005F4AB5">
        <w:rPr>
          <w:color w:val="auto"/>
        </w:rPr>
        <w:lastRenderedPageBreak/>
        <w:t>Five-year h</w:t>
      </w:r>
      <w:r w:rsidR="00A158EA" w:rsidRPr="005F4AB5">
        <w:rPr>
          <w:color w:val="auto"/>
        </w:rPr>
        <w:t>ousing land requirement with NPPF buffers</w:t>
      </w:r>
      <w:bookmarkEnd w:id="30"/>
      <w:bookmarkEnd w:id="31"/>
    </w:p>
    <w:p w14:paraId="16A8FD05" w14:textId="19906241" w:rsidR="004B32F9" w:rsidRPr="005F4AB5" w:rsidRDefault="004A76C8" w:rsidP="000D58DB">
      <w:pPr>
        <w:pStyle w:val="ListParagraph"/>
        <w:widowControl/>
        <w:numPr>
          <w:ilvl w:val="1"/>
          <w:numId w:val="7"/>
        </w:numPr>
        <w:autoSpaceDE/>
        <w:autoSpaceDN/>
        <w:spacing w:before="5" w:line="276" w:lineRule="auto"/>
        <w:ind w:right="133" w:hanging="720"/>
        <w:jc w:val="left"/>
        <w:rPr>
          <w:i/>
          <w:iCs/>
        </w:rPr>
      </w:pPr>
      <w:r w:rsidRPr="005F4AB5">
        <w:t xml:space="preserve">Following </w:t>
      </w:r>
      <w:r w:rsidR="00C83366" w:rsidRPr="005F4AB5">
        <w:t>the publication of the new NPPF (December 2024)</w:t>
      </w:r>
      <w:r w:rsidR="00B070E2" w:rsidRPr="005F4AB5">
        <w:t>,</w:t>
      </w:r>
      <w:r w:rsidR="00C83366" w:rsidRPr="005F4AB5">
        <w:t xml:space="preserve"> </w:t>
      </w:r>
      <w:r w:rsidR="00973F36" w:rsidRPr="005F4AB5">
        <w:t xml:space="preserve">mandatory </w:t>
      </w:r>
      <w:r w:rsidR="00C83366" w:rsidRPr="005F4AB5">
        <w:t xml:space="preserve">buffers to the housing requirements </w:t>
      </w:r>
      <w:r w:rsidR="00605B3C" w:rsidRPr="005F4AB5">
        <w:t>are now required</w:t>
      </w:r>
      <w:r w:rsidR="00C83366" w:rsidRPr="005F4AB5">
        <w:t xml:space="preserve">. </w:t>
      </w:r>
    </w:p>
    <w:p w14:paraId="522BD98E" w14:textId="1A8AF1E7" w:rsidR="002B1216" w:rsidRPr="005F4AB5" w:rsidRDefault="002B1216" w:rsidP="00E8199A">
      <w:pPr>
        <w:rPr>
          <w:i/>
          <w:iCs/>
        </w:rPr>
      </w:pPr>
    </w:p>
    <w:p w14:paraId="12299874" w14:textId="10E73C98" w:rsidR="00C83366" w:rsidRPr="005F4AB5" w:rsidRDefault="00C83366" w:rsidP="000D58DB">
      <w:pPr>
        <w:pStyle w:val="ListParagraph"/>
        <w:widowControl/>
        <w:numPr>
          <w:ilvl w:val="1"/>
          <w:numId w:val="7"/>
        </w:numPr>
        <w:autoSpaceDE/>
        <w:autoSpaceDN/>
        <w:spacing w:line="276" w:lineRule="auto"/>
        <w:ind w:hanging="720"/>
        <w:jc w:val="left"/>
      </w:pPr>
      <w:bookmarkStart w:id="32" w:name="_Hlk173155893"/>
      <w:r w:rsidRPr="005F4AB5">
        <w:t xml:space="preserve">Paragraph </w:t>
      </w:r>
      <w:r w:rsidR="00973F36" w:rsidRPr="005F4AB5">
        <w:t>78 of the NPPF states:</w:t>
      </w:r>
    </w:p>
    <w:p w14:paraId="5A00FD5E" w14:textId="77777777" w:rsidR="00973F36" w:rsidRPr="005F4AB5" w:rsidRDefault="00973F36" w:rsidP="00605B3C">
      <w:pPr>
        <w:pStyle w:val="ListParagraph"/>
      </w:pPr>
    </w:p>
    <w:p w14:paraId="522469F0" w14:textId="737FBE3C" w:rsidR="00973F36" w:rsidRPr="005F4AB5" w:rsidRDefault="00973F36" w:rsidP="00973F36">
      <w:pPr>
        <w:pStyle w:val="ListParagraph"/>
        <w:widowControl/>
        <w:autoSpaceDE/>
        <w:autoSpaceDN/>
        <w:spacing w:line="276" w:lineRule="auto"/>
        <w:ind w:left="720" w:firstLine="0"/>
        <w:jc w:val="left"/>
        <w:rPr>
          <w:i/>
          <w:iCs/>
        </w:rPr>
      </w:pPr>
      <w:r w:rsidRPr="005F4AB5">
        <w:rPr>
          <w:i/>
          <w:iCs/>
        </w:rPr>
        <w:t>“…The supply of specific deliverable sites should in addition include a buffer (moved forward from later in the plan period) of:</w:t>
      </w:r>
    </w:p>
    <w:p w14:paraId="7A639451" w14:textId="77777777" w:rsidR="005F0F75" w:rsidRPr="005F4AB5" w:rsidRDefault="005F0F75" w:rsidP="001B3013">
      <w:pPr>
        <w:widowControl/>
        <w:autoSpaceDE/>
        <w:autoSpaceDN/>
        <w:spacing w:line="276" w:lineRule="auto"/>
        <w:rPr>
          <w:i/>
          <w:iCs/>
        </w:rPr>
      </w:pPr>
    </w:p>
    <w:p w14:paraId="4583EFDA" w14:textId="77777777" w:rsidR="00402D7A" w:rsidRPr="005F4AB5" w:rsidRDefault="00402D7A" w:rsidP="00973F36">
      <w:pPr>
        <w:pStyle w:val="ListParagraph"/>
        <w:widowControl/>
        <w:numPr>
          <w:ilvl w:val="0"/>
          <w:numId w:val="23"/>
        </w:numPr>
        <w:autoSpaceDE/>
        <w:autoSpaceDN/>
        <w:spacing w:line="276" w:lineRule="auto"/>
        <w:jc w:val="left"/>
        <w:rPr>
          <w:i/>
          <w:iCs/>
        </w:rPr>
      </w:pPr>
      <w:r w:rsidRPr="005F4AB5">
        <w:rPr>
          <w:i/>
          <w:iCs/>
        </w:rPr>
        <w:t>5% to ensure choice and competition in the market; or</w:t>
      </w:r>
    </w:p>
    <w:p w14:paraId="464BAB55" w14:textId="77777777" w:rsidR="005F0F75" w:rsidRPr="005F4AB5" w:rsidRDefault="005F0F75" w:rsidP="001B3013">
      <w:pPr>
        <w:pStyle w:val="ListParagraph"/>
        <w:widowControl/>
        <w:autoSpaceDE/>
        <w:autoSpaceDN/>
        <w:spacing w:line="276" w:lineRule="auto"/>
        <w:ind w:left="1440" w:firstLine="0"/>
        <w:jc w:val="left"/>
        <w:rPr>
          <w:i/>
          <w:iCs/>
        </w:rPr>
      </w:pPr>
    </w:p>
    <w:p w14:paraId="076CF3DF" w14:textId="4E598475" w:rsidR="00E5661B" w:rsidRPr="005F4AB5" w:rsidRDefault="00402D7A" w:rsidP="00973F36">
      <w:pPr>
        <w:pStyle w:val="ListParagraph"/>
        <w:widowControl/>
        <w:numPr>
          <w:ilvl w:val="0"/>
          <w:numId w:val="23"/>
        </w:numPr>
        <w:autoSpaceDE/>
        <w:autoSpaceDN/>
        <w:spacing w:line="276" w:lineRule="auto"/>
        <w:jc w:val="left"/>
        <w:rPr>
          <w:i/>
          <w:iCs/>
        </w:rPr>
      </w:pPr>
      <w:r w:rsidRPr="005F4AB5">
        <w:rPr>
          <w:i/>
          <w:iCs/>
        </w:rPr>
        <w:t>20% where there has been significant under delivery</w:t>
      </w:r>
      <w:r w:rsidR="005F0F75" w:rsidRPr="005F4AB5">
        <w:rPr>
          <w:i/>
          <w:iCs/>
        </w:rPr>
        <w:t xml:space="preserve"> (Footnote 40) </w:t>
      </w:r>
      <w:r w:rsidRPr="005F4AB5">
        <w:rPr>
          <w:i/>
          <w:iCs/>
        </w:rPr>
        <w:t>of housing over the previous three years, to improve the prospect of achieving the planned supply or</w:t>
      </w:r>
      <w:r w:rsidR="00E5661B" w:rsidRPr="005F4AB5">
        <w:rPr>
          <w:i/>
          <w:iCs/>
        </w:rPr>
        <w:t xml:space="preserve">; </w:t>
      </w:r>
    </w:p>
    <w:p w14:paraId="3833159C" w14:textId="77777777" w:rsidR="005F0F75" w:rsidRPr="005F4AB5" w:rsidRDefault="005F0F75" w:rsidP="001B3013">
      <w:pPr>
        <w:widowControl/>
        <w:autoSpaceDE/>
        <w:autoSpaceDN/>
        <w:spacing w:line="276" w:lineRule="auto"/>
        <w:rPr>
          <w:i/>
          <w:iCs/>
        </w:rPr>
      </w:pPr>
    </w:p>
    <w:p w14:paraId="0E2AE9F5" w14:textId="750DB153" w:rsidR="00973F36" w:rsidRPr="005F4AB5" w:rsidRDefault="00E5661B" w:rsidP="001B3013">
      <w:pPr>
        <w:pStyle w:val="ListParagraph"/>
        <w:widowControl/>
        <w:numPr>
          <w:ilvl w:val="0"/>
          <w:numId w:val="23"/>
        </w:numPr>
        <w:autoSpaceDE/>
        <w:autoSpaceDN/>
        <w:spacing w:line="276" w:lineRule="auto"/>
        <w:jc w:val="left"/>
        <w:rPr>
          <w:i/>
          <w:iCs/>
        </w:rPr>
      </w:pPr>
      <w:r w:rsidRPr="005F4AB5">
        <w:rPr>
          <w:i/>
          <w:iCs/>
        </w:rPr>
        <w:t xml:space="preserve">From 1 July 2026, for the purposes of decision-making, only 20% where a local planning authority has a housing requirement adopted in the last five years examined against a previous version of this Framework (Footnote </w:t>
      </w:r>
      <w:r w:rsidR="005F0F75" w:rsidRPr="005F4AB5">
        <w:rPr>
          <w:i/>
          <w:iCs/>
        </w:rPr>
        <w:t>41), and whose annular average housing requirement (Footnote 42) is 80% or less of the most up to date local housing need figure calculated using the standard method set out in the national planning practice guidance</w:t>
      </w:r>
      <w:r w:rsidR="00161240" w:rsidRPr="005F4AB5">
        <w:rPr>
          <w:i/>
          <w:iCs/>
        </w:rPr>
        <w:t>”</w:t>
      </w:r>
      <w:r w:rsidR="005F0F75" w:rsidRPr="005F4AB5">
        <w:rPr>
          <w:i/>
          <w:iCs/>
        </w:rPr>
        <w:t xml:space="preserve">.  </w:t>
      </w:r>
    </w:p>
    <w:p w14:paraId="60CA58C7" w14:textId="77777777" w:rsidR="00C83366" w:rsidRPr="005F4AB5" w:rsidRDefault="00C83366" w:rsidP="001B3013">
      <w:pPr>
        <w:pStyle w:val="ListParagraph"/>
        <w:rPr>
          <w:szCs w:val="24"/>
        </w:rPr>
      </w:pPr>
    </w:p>
    <w:p w14:paraId="1D5CB136" w14:textId="7CAE539B" w:rsidR="00AB3647" w:rsidRPr="005F4AB5" w:rsidRDefault="00AB3647" w:rsidP="000D58DB">
      <w:pPr>
        <w:pStyle w:val="ListParagraph"/>
        <w:widowControl/>
        <w:numPr>
          <w:ilvl w:val="1"/>
          <w:numId w:val="7"/>
        </w:numPr>
        <w:autoSpaceDE/>
        <w:autoSpaceDN/>
        <w:spacing w:line="276" w:lineRule="auto"/>
        <w:ind w:hanging="720"/>
        <w:jc w:val="left"/>
      </w:pPr>
      <w:r w:rsidRPr="005F4AB5">
        <w:rPr>
          <w:szCs w:val="24"/>
        </w:rPr>
        <w:t xml:space="preserve">Footnote </w:t>
      </w:r>
      <w:r w:rsidR="00012F34" w:rsidRPr="005F4AB5">
        <w:rPr>
          <w:szCs w:val="24"/>
        </w:rPr>
        <w:t>4</w:t>
      </w:r>
      <w:r w:rsidR="005F0F75" w:rsidRPr="005F4AB5">
        <w:rPr>
          <w:szCs w:val="24"/>
        </w:rPr>
        <w:t>0</w:t>
      </w:r>
      <w:r w:rsidR="00012F34" w:rsidRPr="005F4AB5">
        <w:rPr>
          <w:szCs w:val="24"/>
        </w:rPr>
        <w:t xml:space="preserve"> </w:t>
      </w:r>
      <w:r w:rsidRPr="005F4AB5">
        <w:rPr>
          <w:szCs w:val="24"/>
        </w:rPr>
        <w:t xml:space="preserve">of the NPPF sets out that </w:t>
      </w:r>
      <w:r w:rsidRPr="005F4AB5">
        <w:rPr>
          <w:i/>
          <w:szCs w:val="24"/>
        </w:rPr>
        <w:t xml:space="preserve">“This will be measured against the Housing Delivery Test, where this indicates that delivery was below 85% of the housing requirement”. </w:t>
      </w:r>
      <w:r w:rsidRPr="005F4AB5">
        <w:rPr>
          <w:szCs w:val="24"/>
        </w:rPr>
        <w:t xml:space="preserve">The Housing Delivery Test (HDT) is a percentage measurement of the number of net homes delivered against the number of homes required, over a rolling </w:t>
      </w:r>
      <w:r w:rsidR="00960115" w:rsidRPr="005F4AB5">
        <w:rPr>
          <w:szCs w:val="24"/>
        </w:rPr>
        <w:t>three-year</w:t>
      </w:r>
      <w:r w:rsidRPr="005F4AB5">
        <w:rPr>
          <w:szCs w:val="24"/>
        </w:rPr>
        <w:t xml:space="preserve"> period. The latest </w:t>
      </w:r>
      <w:hyperlink r:id="rId17" w:history="1">
        <w:r w:rsidR="00AB6220" w:rsidRPr="005F4AB5">
          <w:rPr>
            <w:rStyle w:val="Hyperlink"/>
            <w:color w:val="auto"/>
            <w:szCs w:val="24"/>
          </w:rPr>
          <w:t>Housing Delivery Test result</w:t>
        </w:r>
      </w:hyperlink>
      <w:r w:rsidRPr="005F4AB5">
        <w:rPr>
          <w:szCs w:val="24"/>
        </w:rPr>
        <w:t xml:space="preserve"> was published by the government </w:t>
      </w:r>
      <w:r w:rsidR="00012F34" w:rsidRPr="005F4AB5">
        <w:rPr>
          <w:szCs w:val="24"/>
        </w:rPr>
        <w:t xml:space="preserve">on  </w:t>
      </w:r>
      <w:r w:rsidR="004408DD" w:rsidRPr="005F4AB5">
        <w:rPr>
          <w:szCs w:val="24"/>
        </w:rPr>
        <w:t xml:space="preserve">12 </w:t>
      </w:r>
      <w:r w:rsidR="00012F34" w:rsidRPr="005F4AB5">
        <w:rPr>
          <w:szCs w:val="24"/>
        </w:rPr>
        <w:t>December 202</w:t>
      </w:r>
      <w:r w:rsidR="004408DD" w:rsidRPr="005F4AB5">
        <w:rPr>
          <w:szCs w:val="24"/>
        </w:rPr>
        <w:t>4</w:t>
      </w:r>
      <w:r w:rsidR="00012F34" w:rsidRPr="005F4AB5">
        <w:rPr>
          <w:szCs w:val="24"/>
        </w:rPr>
        <w:t xml:space="preserve">. </w:t>
      </w:r>
      <w:r w:rsidRPr="005F4AB5">
        <w:rPr>
          <w:szCs w:val="24"/>
        </w:rPr>
        <w:t>The</w:t>
      </w:r>
      <w:r w:rsidR="00C41256" w:rsidRPr="005F4AB5">
        <w:rPr>
          <w:szCs w:val="24"/>
        </w:rPr>
        <w:t xml:space="preserve"> </w:t>
      </w:r>
      <w:r w:rsidR="004408DD" w:rsidRPr="005F4AB5">
        <w:t>HDT</w:t>
      </w:r>
      <w:r w:rsidRPr="005F4AB5">
        <w:rPr>
          <w:szCs w:val="24"/>
        </w:rPr>
        <w:t xml:space="preserve"> showed that, over the </w:t>
      </w:r>
      <w:r w:rsidR="00960115" w:rsidRPr="005F4AB5">
        <w:rPr>
          <w:szCs w:val="24"/>
        </w:rPr>
        <w:t>three-year</w:t>
      </w:r>
      <w:r w:rsidRPr="005F4AB5">
        <w:rPr>
          <w:szCs w:val="24"/>
        </w:rPr>
        <w:t xml:space="preserve"> period 1</w:t>
      </w:r>
      <w:r w:rsidRPr="005F4AB5">
        <w:rPr>
          <w:szCs w:val="24"/>
          <w:vertAlign w:val="superscript"/>
        </w:rPr>
        <w:t>st</w:t>
      </w:r>
      <w:r w:rsidRPr="005F4AB5">
        <w:rPr>
          <w:szCs w:val="24"/>
        </w:rPr>
        <w:t xml:space="preserve"> April </w:t>
      </w:r>
      <w:r w:rsidR="00012F34" w:rsidRPr="005F4AB5">
        <w:rPr>
          <w:szCs w:val="24"/>
        </w:rPr>
        <w:t>20</w:t>
      </w:r>
      <w:r w:rsidR="00AB6220" w:rsidRPr="005F4AB5">
        <w:rPr>
          <w:szCs w:val="24"/>
        </w:rPr>
        <w:t>20</w:t>
      </w:r>
      <w:r w:rsidR="00012F34" w:rsidRPr="005F4AB5">
        <w:rPr>
          <w:szCs w:val="24"/>
        </w:rPr>
        <w:t xml:space="preserve"> </w:t>
      </w:r>
      <w:r w:rsidRPr="005F4AB5">
        <w:rPr>
          <w:szCs w:val="24"/>
        </w:rPr>
        <w:t>to 31</w:t>
      </w:r>
      <w:r w:rsidRPr="005F4AB5">
        <w:rPr>
          <w:szCs w:val="24"/>
          <w:vertAlign w:val="superscript"/>
        </w:rPr>
        <w:t>st</w:t>
      </w:r>
      <w:r w:rsidRPr="005F4AB5">
        <w:rPr>
          <w:szCs w:val="24"/>
        </w:rPr>
        <w:t xml:space="preserve"> March </w:t>
      </w:r>
      <w:r w:rsidR="00012F34" w:rsidRPr="005F4AB5">
        <w:rPr>
          <w:szCs w:val="24"/>
        </w:rPr>
        <w:t>20</w:t>
      </w:r>
      <w:r w:rsidR="00AB6220" w:rsidRPr="005F4AB5">
        <w:rPr>
          <w:szCs w:val="24"/>
        </w:rPr>
        <w:t>23</w:t>
      </w:r>
      <w:r w:rsidRPr="005F4AB5">
        <w:rPr>
          <w:szCs w:val="24"/>
        </w:rPr>
        <w:t xml:space="preserve">, the amount of housing delivered within </w:t>
      </w:r>
      <w:r w:rsidR="00E04696" w:rsidRPr="005F4AB5">
        <w:rPr>
          <w:szCs w:val="24"/>
        </w:rPr>
        <w:t xml:space="preserve">Gloucester City </w:t>
      </w:r>
      <w:r w:rsidRPr="005F4AB5">
        <w:rPr>
          <w:szCs w:val="24"/>
        </w:rPr>
        <w:t xml:space="preserve">was </w:t>
      </w:r>
      <w:r w:rsidR="00E04696" w:rsidRPr="005F4AB5">
        <w:rPr>
          <w:szCs w:val="24"/>
        </w:rPr>
        <w:t>134</w:t>
      </w:r>
      <w:r w:rsidR="00012F34" w:rsidRPr="005F4AB5">
        <w:rPr>
          <w:szCs w:val="24"/>
        </w:rPr>
        <w:t>%</w:t>
      </w:r>
      <w:r w:rsidRPr="005F4AB5">
        <w:rPr>
          <w:szCs w:val="24"/>
        </w:rPr>
        <w:t xml:space="preserve"> (</w:t>
      </w:r>
      <w:r w:rsidR="00D32939" w:rsidRPr="005F4AB5">
        <w:rPr>
          <w:szCs w:val="24"/>
        </w:rPr>
        <w:t>1,1</w:t>
      </w:r>
      <w:r w:rsidR="00E04696" w:rsidRPr="005F4AB5">
        <w:rPr>
          <w:szCs w:val="24"/>
        </w:rPr>
        <w:t>95</w:t>
      </w:r>
      <w:r w:rsidRPr="005F4AB5">
        <w:rPr>
          <w:szCs w:val="24"/>
        </w:rPr>
        <w:t xml:space="preserve"> homes required and </w:t>
      </w:r>
      <w:r w:rsidR="00E04696" w:rsidRPr="005F4AB5">
        <w:rPr>
          <w:szCs w:val="24"/>
        </w:rPr>
        <w:t xml:space="preserve">1,604 </w:t>
      </w:r>
      <w:r w:rsidRPr="005F4AB5">
        <w:rPr>
          <w:szCs w:val="24"/>
        </w:rPr>
        <w:t xml:space="preserve">net homes delivered). Therefore, </w:t>
      </w:r>
      <w:r w:rsidR="00A27932" w:rsidRPr="005F4AB5">
        <w:rPr>
          <w:szCs w:val="24"/>
        </w:rPr>
        <w:t xml:space="preserve">only the mandatory </w:t>
      </w:r>
      <w:r w:rsidR="00E04696" w:rsidRPr="005F4AB5">
        <w:rPr>
          <w:szCs w:val="24"/>
        </w:rPr>
        <w:t>5</w:t>
      </w:r>
      <w:r w:rsidRPr="005F4AB5">
        <w:rPr>
          <w:szCs w:val="24"/>
        </w:rPr>
        <w:t xml:space="preserve">% buffer </w:t>
      </w:r>
      <w:r w:rsidR="00D32939" w:rsidRPr="005F4AB5">
        <w:rPr>
          <w:szCs w:val="24"/>
        </w:rPr>
        <w:t xml:space="preserve">to the housing requirement </w:t>
      </w:r>
      <w:r w:rsidR="00B150B9" w:rsidRPr="005F4AB5">
        <w:rPr>
          <w:szCs w:val="24"/>
        </w:rPr>
        <w:t xml:space="preserve">has been </w:t>
      </w:r>
      <w:r w:rsidR="00D32939" w:rsidRPr="005F4AB5">
        <w:rPr>
          <w:szCs w:val="24"/>
        </w:rPr>
        <w:t xml:space="preserve">applied. </w:t>
      </w:r>
    </w:p>
    <w:bookmarkEnd w:id="32"/>
    <w:p w14:paraId="08072B34" w14:textId="77777777" w:rsidR="00AB3647" w:rsidRPr="005F4AB5" w:rsidRDefault="00AB3647" w:rsidP="000D58DB">
      <w:pPr>
        <w:pStyle w:val="ListParagraph"/>
        <w:widowControl/>
        <w:autoSpaceDE/>
        <w:autoSpaceDN/>
        <w:spacing w:line="276" w:lineRule="auto"/>
        <w:ind w:left="720" w:firstLine="0"/>
        <w:jc w:val="left"/>
      </w:pPr>
    </w:p>
    <w:p w14:paraId="1611216A" w14:textId="64CD6EF0" w:rsidR="00AB3647" w:rsidRPr="005F4AB5" w:rsidRDefault="00AB3647" w:rsidP="000D58DB">
      <w:pPr>
        <w:pStyle w:val="ListParagraph"/>
        <w:widowControl/>
        <w:numPr>
          <w:ilvl w:val="1"/>
          <w:numId w:val="7"/>
        </w:numPr>
        <w:autoSpaceDE/>
        <w:autoSpaceDN/>
        <w:spacing w:line="276" w:lineRule="auto"/>
        <w:ind w:right="31" w:hanging="720"/>
        <w:jc w:val="left"/>
      </w:pPr>
      <w:r w:rsidRPr="005F4AB5">
        <w:rPr>
          <w:szCs w:val="24"/>
        </w:rPr>
        <w:t>It should also be noted that the H</w:t>
      </w:r>
      <w:r w:rsidR="008D4D4D" w:rsidRPr="005F4AB5">
        <w:rPr>
          <w:szCs w:val="24"/>
        </w:rPr>
        <w:t xml:space="preserve">DT </w:t>
      </w:r>
      <w:r w:rsidRPr="005F4AB5">
        <w:rPr>
          <w:szCs w:val="24"/>
        </w:rPr>
        <w:t xml:space="preserve">is used as a measurement of housing delivery alongside the test of </w:t>
      </w:r>
      <w:r w:rsidR="00E36EDE" w:rsidRPr="005F4AB5">
        <w:rPr>
          <w:szCs w:val="24"/>
        </w:rPr>
        <w:t>maintaining a</w:t>
      </w:r>
      <w:r w:rsidR="00012F34" w:rsidRPr="005F4AB5">
        <w:rPr>
          <w:szCs w:val="24"/>
        </w:rPr>
        <w:t xml:space="preserve"> </w:t>
      </w:r>
      <w:r w:rsidR="00AB7245" w:rsidRPr="005F4AB5">
        <w:rPr>
          <w:szCs w:val="24"/>
        </w:rPr>
        <w:t>five-year</w:t>
      </w:r>
      <w:r w:rsidRPr="005F4AB5">
        <w:rPr>
          <w:szCs w:val="24"/>
        </w:rPr>
        <w:t xml:space="preserve"> supply of deliverable sites. Whilst a failure to satisfy either of the tests can engage the presumption in favour of sustainable development, </w:t>
      </w:r>
      <w:r w:rsidR="00811DD5" w:rsidRPr="005F4AB5">
        <w:rPr>
          <w:szCs w:val="24"/>
        </w:rPr>
        <w:t>there</w:t>
      </w:r>
      <w:r w:rsidRPr="005F4AB5">
        <w:rPr>
          <w:szCs w:val="24"/>
        </w:rPr>
        <w:t xml:space="preserve"> are two different mechanisms </w:t>
      </w:r>
      <w:r w:rsidR="006D23A2" w:rsidRPr="005F4AB5">
        <w:rPr>
          <w:szCs w:val="24"/>
        </w:rPr>
        <w:t xml:space="preserve">calculated </w:t>
      </w:r>
      <w:r w:rsidRPr="005F4AB5">
        <w:rPr>
          <w:szCs w:val="24"/>
        </w:rPr>
        <w:t>in different ways.</w:t>
      </w:r>
    </w:p>
    <w:p w14:paraId="2A3BA9D7" w14:textId="77777777" w:rsidR="00AB3647" w:rsidRPr="005F4AB5" w:rsidRDefault="00AB3647" w:rsidP="000D58DB">
      <w:pPr>
        <w:pStyle w:val="ListParagraph"/>
        <w:widowControl/>
        <w:autoSpaceDE/>
        <w:autoSpaceDN/>
        <w:spacing w:line="276" w:lineRule="auto"/>
        <w:ind w:left="720" w:firstLine="0"/>
        <w:jc w:val="left"/>
      </w:pPr>
    </w:p>
    <w:p w14:paraId="6136A904" w14:textId="37ADEEFD" w:rsidR="008D4D4D" w:rsidRPr="005F4AB5" w:rsidRDefault="003A30BF" w:rsidP="000D58DB">
      <w:pPr>
        <w:pStyle w:val="ListParagraph"/>
        <w:widowControl/>
        <w:numPr>
          <w:ilvl w:val="1"/>
          <w:numId w:val="7"/>
        </w:numPr>
        <w:autoSpaceDE/>
        <w:autoSpaceDN/>
        <w:spacing w:line="276" w:lineRule="auto"/>
        <w:ind w:right="31" w:hanging="720"/>
        <w:jc w:val="left"/>
        <w:rPr>
          <w:rFonts w:ascii="Aptos Display" w:hAnsi="Aptos Display"/>
          <w:szCs w:val="24"/>
        </w:rPr>
      </w:pPr>
      <w:bookmarkStart w:id="33" w:name="_Hlk173156642"/>
      <w:r w:rsidRPr="005F4AB5">
        <w:rPr>
          <w:szCs w:val="24"/>
        </w:rPr>
        <w:t>Paragraph 2</w:t>
      </w:r>
      <w:r w:rsidR="0020795B" w:rsidRPr="005F4AB5">
        <w:rPr>
          <w:szCs w:val="24"/>
        </w:rPr>
        <w:t>32</w:t>
      </w:r>
      <w:r w:rsidRPr="005F4AB5">
        <w:rPr>
          <w:szCs w:val="24"/>
        </w:rPr>
        <w:t xml:space="preserve"> of the NPPF states “</w:t>
      </w:r>
      <w:r w:rsidR="0020795B" w:rsidRPr="005F4AB5">
        <w:rPr>
          <w:szCs w:val="24"/>
        </w:rPr>
        <w:t>…</w:t>
      </w:r>
      <w:r w:rsidR="0020795B" w:rsidRPr="005F4AB5">
        <w:rPr>
          <w:i/>
          <w:iCs/>
          <w:szCs w:val="24"/>
        </w:rPr>
        <w:t xml:space="preserve">existing policies should not be considered out-of-date simply because they were adopted or made prior to the publication of this Framework. Due weight should be given to them, according to their degree of consistency with this Framework (the closer the policies in the plan to the policies in the Framework, the greater the weight that may be given). Where a local planning authority can demonstrate a five year supply of deliverable housing sites (with the appropriate buffer as set out in paragraph 78) and where the Housing Delivery Test indicates that the delivery of housing is more than </w:t>
      </w:r>
      <w:r w:rsidR="0020795B" w:rsidRPr="005F4AB5">
        <w:rPr>
          <w:i/>
          <w:iCs/>
          <w:szCs w:val="24"/>
        </w:rPr>
        <w:lastRenderedPageBreak/>
        <w:t>75% of the housing requirement over the previous three years, policies should not be regarded as out-of-date on the basis that the most up to date local housing need figure (calculated using the standard method set out in planning practice guidance) is greater than the housing requirement set out in adopted strategic policies, for a period of five years from the date of the plan’s adoption</w:t>
      </w:r>
      <w:r w:rsidR="0020795B" w:rsidRPr="005F4AB5" w:rsidDel="0020795B">
        <w:rPr>
          <w:szCs w:val="24"/>
        </w:rPr>
        <w:t xml:space="preserve"> </w:t>
      </w:r>
      <w:r w:rsidR="00FB082A" w:rsidRPr="005F4AB5">
        <w:rPr>
          <w:rFonts w:ascii="Aptos Display" w:hAnsi="Aptos Display"/>
          <w:szCs w:val="24"/>
        </w:rPr>
        <w:t>”</w:t>
      </w:r>
      <w:r w:rsidRPr="005F4AB5">
        <w:rPr>
          <w:rFonts w:ascii="Aptos Display" w:hAnsi="Aptos Display"/>
          <w:szCs w:val="24"/>
        </w:rPr>
        <w:t>.</w:t>
      </w:r>
      <w:r w:rsidRPr="005F4AB5">
        <w:rPr>
          <w:rFonts w:ascii="Aptos Display" w:hAnsi="Aptos Display"/>
        </w:rPr>
        <w:t xml:space="preserve"> </w:t>
      </w:r>
      <w:bookmarkEnd w:id="33"/>
    </w:p>
    <w:p w14:paraId="3335FC61" w14:textId="77777777" w:rsidR="00A01224" w:rsidRPr="005F4AB5" w:rsidRDefault="00A01224" w:rsidP="000D58DB">
      <w:pPr>
        <w:pStyle w:val="ListParagraph"/>
        <w:jc w:val="left"/>
        <w:rPr>
          <w:szCs w:val="24"/>
        </w:rPr>
      </w:pPr>
    </w:p>
    <w:p w14:paraId="51CBA5E6" w14:textId="77777777" w:rsidR="00033F80" w:rsidRPr="005F4AB5" w:rsidRDefault="003A30BF" w:rsidP="00033F80">
      <w:pPr>
        <w:pStyle w:val="ListParagraph"/>
        <w:numPr>
          <w:ilvl w:val="1"/>
          <w:numId w:val="7"/>
        </w:numPr>
        <w:spacing w:line="276" w:lineRule="auto"/>
        <w:ind w:right="31" w:hanging="720"/>
        <w:rPr>
          <w:b/>
          <w:bCs/>
          <w:szCs w:val="24"/>
        </w:rPr>
      </w:pPr>
      <w:bookmarkStart w:id="34" w:name="_Hlk173156906"/>
      <w:r w:rsidRPr="005F4AB5">
        <w:rPr>
          <w:szCs w:val="24"/>
        </w:rPr>
        <w:t xml:space="preserve">The </w:t>
      </w:r>
      <w:r w:rsidR="00314013" w:rsidRPr="005F4AB5">
        <w:rPr>
          <w:szCs w:val="24"/>
        </w:rPr>
        <w:t>SLP h</w:t>
      </w:r>
      <w:r w:rsidR="0020795B" w:rsidRPr="005F4AB5">
        <w:rPr>
          <w:szCs w:val="24"/>
        </w:rPr>
        <w:t xml:space="preserve">eld a </w:t>
      </w:r>
      <w:r w:rsidR="00314013" w:rsidRPr="005F4AB5">
        <w:rPr>
          <w:szCs w:val="24"/>
        </w:rPr>
        <w:t xml:space="preserve">Regulation 18 </w:t>
      </w:r>
      <w:r w:rsidR="0020795B" w:rsidRPr="005F4AB5">
        <w:rPr>
          <w:szCs w:val="24"/>
        </w:rPr>
        <w:t xml:space="preserve">consultation </w:t>
      </w:r>
      <w:r w:rsidR="0090217E" w:rsidRPr="005F4AB5">
        <w:rPr>
          <w:szCs w:val="24"/>
        </w:rPr>
        <w:t>in 2024</w:t>
      </w:r>
      <w:r w:rsidR="00314013" w:rsidRPr="005F4AB5">
        <w:rPr>
          <w:szCs w:val="24"/>
        </w:rPr>
        <w:t xml:space="preserve">, </w:t>
      </w:r>
      <w:r w:rsidR="0090217E" w:rsidRPr="005F4AB5">
        <w:rPr>
          <w:szCs w:val="24"/>
        </w:rPr>
        <w:t xml:space="preserve">and is expected to </w:t>
      </w:r>
      <w:r w:rsidR="009B0F2C" w:rsidRPr="005F4AB5">
        <w:rPr>
          <w:szCs w:val="24"/>
        </w:rPr>
        <w:t>hold a Regulation 19 consultation in August</w:t>
      </w:r>
      <w:r w:rsidR="00A27932" w:rsidRPr="005F4AB5">
        <w:rPr>
          <w:szCs w:val="24"/>
        </w:rPr>
        <w:t>/</w:t>
      </w:r>
      <w:r w:rsidR="009B0F2C" w:rsidRPr="005F4AB5">
        <w:rPr>
          <w:szCs w:val="24"/>
        </w:rPr>
        <w:t xml:space="preserve">September 2026 as </w:t>
      </w:r>
      <w:r w:rsidR="00314013" w:rsidRPr="005F4AB5">
        <w:rPr>
          <w:szCs w:val="24"/>
        </w:rPr>
        <w:t xml:space="preserve">set out in the Council’s </w:t>
      </w:r>
      <w:r w:rsidR="00A01224" w:rsidRPr="005F4AB5">
        <w:rPr>
          <w:szCs w:val="24"/>
        </w:rPr>
        <w:t>Local Development Scheme (</w:t>
      </w:r>
      <w:r w:rsidR="00314013" w:rsidRPr="005F4AB5">
        <w:rPr>
          <w:szCs w:val="24"/>
        </w:rPr>
        <w:t>LDS</w:t>
      </w:r>
      <w:r w:rsidR="00A01224" w:rsidRPr="005F4AB5">
        <w:rPr>
          <w:szCs w:val="24"/>
        </w:rPr>
        <w:t>)</w:t>
      </w:r>
      <w:r w:rsidR="00314013" w:rsidRPr="005F4AB5">
        <w:rPr>
          <w:szCs w:val="24"/>
        </w:rPr>
        <w:t xml:space="preserve">. The first of the Regulation 18 consultation stages ended on 12 March 2024. That document was not accompanied by a policies map and the document did not contain proposed allocations. Therefore, it is considered that </w:t>
      </w:r>
      <w:r w:rsidR="00D80747" w:rsidRPr="005F4AB5">
        <w:rPr>
          <w:szCs w:val="24"/>
        </w:rPr>
        <w:t>GCC</w:t>
      </w:r>
      <w:r w:rsidR="00314013" w:rsidRPr="005F4AB5">
        <w:rPr>
          <w:szCs w:val="24"/>
        </w:rPr>
        <w:t xml:space="preserve"> still needs to demonstrate a </w:t>
      </w:r>
      <w:r w:rsidR="00FB082A" w:rsidRPr="005F4AB5">
        <w:rPr>
          <w:szCs w:val="24"/>
        </w:rPr>
        <w:t>five-</w:t>
      </w:r>
      <w:r w:rsidR="00314013" w:rsidRPr="005F4AB5">
        <w:rPr>
          <w:szCs w:val="24"/>
        </w:rPr>
        <w:t xml:space="preserve">year housing land supply. </w:t>
      </w:r>
      <w:r w:rsidR="00081C8C" w:rsidRPr="005F4AB5">
        <w:rPr>
          <w:szCs w:val="24"/>
        </w:rPr>
        <w:t>The five-year housing requirement for the period 1 April 202</w:t>
      </w:r>
      <w:r w:rsidR="00236E1B">
        <w:rPr>
          <w:szCs w:val="24"/>
        </w:rPr>
        <w:t>5</w:t>
      </w:r>
      <w:r w:rsidR="00081C8C" w:rsidRPr="005F4AB5">
        <w:rPr>
          <w:szCs w:val="24"/>
        </w:rPr>
        <w:t xml:space="preserve"> to 31 March 20</w:t>
      </w:r>
      <w:r w:rsidR="00236E1B">
        <w:rPr>
          <w:szCs w:val="24"/>
        </w:rPr>
        <w:t>30</w:t>
      </w:r>
      <w:r w:rsidR="00081C8C" w:rsidRPr="005F4AB5">
        <w:rPr>
          <w:szCs w:val="24"/>
        </w:rPr>
        <w:t xml:space="preserve"> is </w:t>
      </w:r>
      <w:r w:rsidR="00A27932" w:rsidRPr="005F4AB5">
        <w:rPr>
          <w:szCs w:val="24"/>
        </w:rPr>
        <w:t>3,500 dwellings without the 5% buffer and 3,675 dwellings when the buffer is applied</w:t>
      </w:r>
      <w:r w:rsidR="004864FB" w:rsidRPr="005F4AB5">
        <w:rPr>
          <w:szCs w:val="24"/>
        </w:rPr>
        <w:t xml:space="preserve"> </w:t>
      </w:r>
      <w:r w:rsidR="00A27932" w:rsidRPr="005F4AB5">
        <w:rPr>
          <w:szCs w:val="24"/>
        </w:rPr>
        <w:t xml:space="preserve">as </w:t>
      </w:r>
      <w:r w:rsidR="00081C8C" w:rsidRPr="005F4AB5">
        <w:rPr>
          <w:szCs w:val="24"/>
        </w:rPr>
        <w:t xml:space="preserve">set out in </w:t>
      </w:r>
      <w:r w:rsidR="00081C8C" w:rsidRPr="005F4AB5">
        <w:rPr>
          <w:b/>
          <w:bCs/>
          <w:szCs w:val="24"/>
        </w:rPr>
        <w:fldChar w:fldCharType="begin"/>
      </w:r>
      <w:r w:rsidR="00081C8C" w:rsidRPr="005F4AB5">
        <w:rPr>
          <w:b/>
          <w:bCs/>
          <w:szCs w:val="24"/>
        </w:rPr>
        <w:instrText xml:space="preserve"> REF _Ref121297758 \h  \* MERGEFORMAT </w:instrText>
      </w:r>
      <w:r w:rsidR="00081C8C" w:rsidRPr="005F4AB5">
        <w:rPr>
          <w:b/>
          <w:bCs/>
          <w:szCs w:val="24"/>
        </w:rPr>
      </w:r>
      <w:r w:rsidR="00081C8C" w:rsidRPr="005F4AB5">
        <w:rPr>
          <w:b/>
          <w:bCs/>
          <w:szCs w:val="24"/>
        </w:rPr>
        <w:fldChar w:fldCharType="separate"/>
      </w:r>
    </w:p>
    <w:p w14:paraId="141C838D" w14:textId="304F741D" w:rsidR="006A0EAE" w:rsidRPr="005F4AB5" w:rsidRDefault="00033F80" w:rsidP="002E65EB">
      <w:pPr>
        <w:pStyle w:val="ListParagraph"/>
        <w:widowControl/>
        <w:numPr>
          <w:ilvl w:val="1"/>
          <w:numId w:val="7"/>
        </w:numPr>
        <w:autoSpaceDE/>
        <w:autoSpaceDN/>
        <w:spacing w:line="276" w:lineRule="auto"/>
        <w:ind w:right="31" w:hanging="720"/>
        <w:jc w:val="left"/>
        <w:rPr>
          <w:szCs w:val="24"/>
        </w:rPr>
      </w:pPr>
      <w:r w:rsidRPr="005F4AB5">
        <w:rPr>
          <w:b/>
          <w:bCs/>
          <w:szCs w:val="24"/>
        </w:rPr>
        <w:t>Figure</w:t>
      </w:r>
      <w:r w:rsidRPr="005F4AB5">
        <w:rPr>
          <w:b/>
          <w:bCs/>
          <w:noProof/>
          <w:szCs w:val="24"/>
        </w:rPr>
        <w:t xml:space="preserve"> </w:t>
      </w:r>
      <w:r>
        <w:rPr>
          <w:b/>
          <w:bCs/>
          <w:noProof/>
          <w:szCs w:val="24"/>
        </w:rPr>
        <w:t>2</w:t>
      </w:r>
      <w:r w:rsidR="00081C8C" w:rsidRPr="005F4AB5">
        <w:rPr>
          <w:b/>
          <w:bCs/>
          <w:szCs w:val="24"/>
        </w:rPr>
        <w:fldChar w:fldCharType="end"/>
      </w:r>
      <w:r w:rsidR="00081C8C" w:rsidRPr="005F4AB5">
        <w:rPr>
          <w:szCs w:val="24"/>
        </w:rPr>
        <w:t>.</w:t>
      </w:r>
      <w:bookmarkEnd w:id="34"/>
    </w:p>
    <w:p w14:paraId="25D2B4D8" w14:textId="37111180" w:rsidR="00676637" w:rsidRPr="005F4AB5" w:rsidRDefault="00676637" w:rsidP="000D58DB">
      <w:pPr>
        <w:widowControl/>
        <w:autoSpaceDE/>
        <w:autoSpaceDN/>
        <w:spacing w:after="120"/>
        <w:ind w:left="703"/>
        <w:textAlignment w:val="baseline"/>
        <w:rPr>
          <w:b/>
          <w:bCs/>
          <w:szCs w:val="24"/>
        </w:rPr>
      </w:pPr>
      <w:bookmarkStart w:id="35" w:name="_Ref121297758"/>
      <w:bookmarkStart w:id="36" w:name="_Ref135662340"/>
      <w:bookmarkStart w:id="37" w:name="_Hlk173157950"/>
    </w:p>
    <w:p w14:paraId="212ED507" w14:textId="77931CD0" w:rsidR="00EA5C03" w:rsidRPr="005F4AB5" w:rsidRDefault="00EA5C03" w:rsidP="000D58DB">
      <w:pPr>
        <w:widowControl/>
        <w:autoSpaceDE/>
        <w:autoSpaceDN/>
        <w:spacing w:after="120"/>
        <w:ind w:left="703"/>
        <w:textAlignment w:val="baseline"/>
        <w:rPr>
          <w:b/>
          <w:bCs/>
          <w:szCs w:val="24"/>
        </w:rPr>
      </w:pPr>
      <w:bookmarkStart w:id="38" w:name="_Toc208233932"/>
      <w:r w:rsidRPr="005F4AB5">
        <w:rPr>
          <w:b/>
          <w:bCs/>
          <w:szCs w:val="24"/>
        </w:rPr>
        <w:t xml:space="preserve">Figure </w:t>
      </w:r>
      <w:r w:rsidRPr="005F4AB5">
        <w:rPr>
          <w:b/>
          <w:bCs/>
          <w:szCs w:val="24"/>
        </w:rPr>
        <w:fldChar w:fldCharType="begin"/>
      </w:r>
      <w:r w:rsidRPr="005F4AB5">
        <w:rPr>
          <w:b/>
          <w:bCs/>
          <w:szCs w:val="24"/>
        </w:rPr>
        <w:instrText xml:space="preserve"> SEQ Figure \* ARABIC </w:instrText>
      </w:r>
      <w:r w:rsidRPr="005F4AB5">
        <w:rPr>
          <w:b/>
          <w:bCs/>
          <w:szCs w:val="24"/>
        </w:rPr>
        <w:fldChar w:fldCharType="separate"/>
      </w:r>
      <w:r w:rsidR="00033F80">
        <w:rPr>
          <w:b/>
          <w:bCs/>
          <w:noProof/>
          <w:szCs w:val="24"/>
        </w:rPr>
        <w:t>2</w:t>
      </w:r>
      <w:r w:rsidRPr="005F4AB5">
        <w:rPr>
          <w:b/>
          <w:bCs/>
          <w:szCs w:val="24"/>
        </w:rPr>
        <w:fldChar w:fldCharType="end"/>
      </w:r>
      <w:bookmarkEnd w:id="35"/>
      <w:bookmarkEnd w:id="36"/>
      <w:r w:rsidR="00F36D9E" w:rsidRPr="005F4AB5">
        <w:rPr>
          <w:b/>
          <w:bCs/>
          <w:szCs w:val="24"/>
        </w:rPr>
        <w:t>: F</w:t>
      </w:r>
      <w:r w:rsidRPr="005F4AB5">
        <w:rPr>
          <w:b/>
          <w:bCs/>
          <w:szCs w:val="24"/>
        </w:rPr>
        <w:t xml:space="preserve">ive-year </w:t>
      </w:r>
      <w:r w:rsidR="00251AF1" w:rsidRPr="005F4AB5">
        <w:rPr>
          <w:b/>
          <w:bCs/>
          <w:szCs w:val="24"/>
        </w:rPr>
        <w:t xml:space="preserve">housing </w:t>
      </w:r>
      <w:r w:rsidRPr="005F4AB5">
        <w:rPr>
          <w:b/>
          <w:bCs/>
          <w:szCs w:val="24"/>
        </w:rPr>
        <w:t xml:space="preserve">requirement 1 April </w:t>
      </w:r>
      <w:r w:rsidR="00676637" w:rsidRPr="005F4AB5">
        <w:rPr>
          <w:b/>
          <w:bCs/>
          <w:szCs w:val="24"/>
        </w:rPr>
        <w:t xml:space="preserve">2025 </w:t>
      </w:r>
      <w:r w:rsidRPr="005F4AB5">
        <w:rPr>
          <w:b/>
          <w:bCs/>
          <w:szCs w:val="24"/>
        </w:rPr>
        <w:t xml:space="preserve">to 31 March </w:t>
      </w:r>
      <w:r w:rsidR="00676637" w:rsidRPr="005F4AB5">
        <w:rPr>
          <w:b/>
          <w:bCs/>
          <w:szCs w:val="24"/>
        </w:rPr>
        <w:t>2030</w:t>
      </w:r>
      <w:bookmarkEnd w:id="38"/>
    </w:p>
    <w:tbl>
      <w:tblPr>
        <w:tblW w:w="9923" w:type="dxa"/>
        <w:tblInd w:w="-10" w:type="dxa"/>
        <w:tblLook w:val="04A0" w:firstRow="1" w:lastRow="0" w:firstColumn="1" w:lastColumn="0" w:noHBand="0" w:noVBand="1"/>
      </w:tblPr>
      <w:tblGrid>
        <w:gridCol w:w="1689"/>
        <w:gridCol w:w="3414"/>
        <w:gridCol w:w="3374"/>
        <w:gridCol w:w="1446"/>
      </w:tblGrid>
      <w:tr w:rsidR="00B42291" w:rsidRPr="005F4AB5" w14:paraId="77F63227" w14:textId="77777777" w:rsidTr="00791BB0">
        <w:trPr>
          <w:cantSplit/>
          <w:trHeight w:val="320"/>
          <w:tblHeader/>
        </w:trPr>
        <w:tc>
          <w:tcPr>
            <w:tcW w:w="1689" w:type="dxa"/>
            <w:tcBorders>
              <w:top w:val="single" w:sz="8" w:space="0" w:color="auto"/>
              <w:left w:val="single" w:sz="8" w:space="0" w:color="auto"/>
              <w:bottom w:val="single" w:sz="8" w:space="0" w:color="auto"/>
              <w:right w:val="single" w:sz="8" w:space="0" w:color="auto"/>
            </w:tcBorders>
            <w:vAlign w:val="center"/>
            <w:hideMark/>
          </w:tcPr>
          <w:p w14:paraId="3206924B" w14:textId="77777777" w:rsidR="00D15BA1" w:rsidRPr="005F4AB5" w:rsidRDefault="00D15BA1" w:rsidP="000D58DB">
            <w:pPr>
              <w:widowControl/>
              <w:autoSpaceDE/>
              <w:autoSpaceDN/>
              <w:rPr>
                <w:rFonts w:eastAsia="Times New Roman"/>
                <w:b/>
                <w:bCs/>
                <w:szCs w:val="24"/>
                <w:lang w:val="en-GB" w:eastAsia="en-GB"/>
              </w:rPr>
            </w:pPr>
            <w:r w:rsidRPr="005F4AB5">
              <w:rPr>
                <w:rFonts w:eastAsia="Times New Roman"/>
                <w:b/>
                <w:bCs/>
                <w:szCs w:val="24"/>
                <w:lang w:val="en-GB" w:eastAsia="en-GB"/>
              </w:rPr>
              <w:t>Row ID</w:t>
            </w:r>
          </w:p>
        </w:tc>
        <w:tc>
          <w:tcPr>
            <w:tcW w:w="3414" w:type="dxa"/>
            <w:tcBorders>
              <w:top w:val="single" w:sz="8" w:space="0" w:color="auto"/>
              <w:left w:val="nil"/>
              <w:bottom w:val="single" w:sz="8" w:space="0" w:color="auto"/>
              <w:right w:val="single" w:sz="8" w:space="0" w:color="auto"/>
            </w:tcBorders>
            <w:vAlign w:val="center"/>
            <w:hideMark/>
          </w:tcPr>
          <w:p w14:paraId="412703F0" w14:textId="6B087631" w:rsidR="00D15BA1" w:rsidRPr="005F4AB5" w:rsidRDefault="00D15BA1" w:rsidP="000D58DB">
            <w:pPr>
              <w:widowControl/>
              <w:autoSpaceDE/>
              <w:autoSpaceDN/>
              <w:rPr>
                <w:rFonts w:eastAsia="Times New Roman"/>
                <w:b/>
                <w:bCs/>
                <w:szCs w:val="24"/>
                <w:lang w:val="en-GB" w:eastAsia="en-GB"/>
              </w:rPr>
            </w:pPr>
            <w:r w:rsidRPr="005F4AB5">
              <w:rPr>
                <w:rFonts w:eastAsia="Times New Roman"/>
                <w:b/>
                <w:bCs/>
                <w:szCs w:val="24"/>
                <w:lang w:val="en-GB" w:eastAsia="en-GB"/>
              </w:rPr>
              <w:t>Component</w:t>
            </w:r>
          </w:p>
        </w:tc>
        <w:tc>
          <w:tcPr>
            <w:tcW w:w="3374" w:type="dxa"/>
            <w:tcBorders>
              <w:top w:val="single" w:sz="8" w:space="0" w:color="auto"/>
              <w:left w:val="nil"/>
              <w:bottom w:val="single" w:sz="8" w:space="0" w:color="auto"/>
              <w:right w:val="single" w:sz="8" w:space="0" w:color="auto"/>
            </w:tcBorders>
            <w:vAlign w:val="center"/>
            <w:hideMark/>
          </w:tcPr>
          <w:p w14:paraId="10CEECFA" w14:textId="77777777" w:rsidR="00D15BA1" w:rsidRPr="005F4AB5" w:rsidRDefault="00D15BA1" w:rsidP="000D58DB">
            <w:pPr>
              <w:widowControl/>
              <w:autoSpaceDE/>
              <w:autoSpaceDN/>
              <w:rPr>
                <w:rFonts w:eastAsia="Times New Roman"/>
                <w:b/>
                <w:bCs/>
                <w:szCs w:val="24"/>
                <w:lang w:val="en-GB" w:eastAsia="en-GB"/>
              </w:rPr>
            </w:pPr>
            <w:r w:rsidRPr="005F4AB5">
              <w:rPr>
                <w:rFonts w:eastAsia="Times New Roman"/>
                <w:b/>
                <w:bCs/>
                <w:szCs w:val="24"/>
                <w:lang w:val="en-GB" w:eastAsia="en-GB"/>
              </w:rPr>
              <w:t>Calculation</w:t>
            </w:r>
          </w:p>
        </w:tc>
        <w:tc>
          <w:tcPr>
            <w:tcW w:w="1446" w:type="dxa"/>
            <w:tcBorders>
              <w:top w:val="single" w:sz="8" w:space="0" w:color="auto"/>
              <w:left w:val="nil"/>
              <w:bottom w:val="single" w:sz="8" w:space="0" w:color="auto"/>
              <w:right w:val="single" w:sz="8" w:space="0" w:color="auto"/>
            </w:tcBorders>
            <w:vAlign w:val="center"/>
            <w:hideMark/>
          </w:tcPr>
          <w:p w14:paraId="6D65DDAD" w14:textId="5E13CEE0" w:rsidR="00D15BA1" w:rsidRPr="005F4AB5" w:rsidRDefault="00D15BA1" w:rsidP="000D58DB">
            <w:pPr>
              <w:widowControl/>
              <w:autoSpaceDE/>
              <w:autoSpaceDN/>
              <w:rPr>
                <w:rFonts w:eastAsia="Times New Roman"/>
                <w:b/>
                <w:bCs/>
                <w:szCs w:val="24"/>
                <w:lang w:val="en-GB" w:eastAsia="en-GB"/>
              </w:rPr>
            </w:pPr>
            <w:r w:rsidRPr="005F4AB5">
              <w:rPr>
                <w:rFonts w:eastAsia="Times New Roman"/>
                <w:b/>
                <w:bCs/>
                <w:szCs w:val="24"/>
                <w:lang w:val="en-GB" w:eastAsia="en-GB"/>
              </w:rPr>
              <w:t xml:space="preserve">Total </w:t>
            </w:r>
            <w:r w:rsidR="00451CA5" w:rsidRPr="005F4AB5">
              <w:rPr>
                <w:rFonts w:eastAsia="Times New Roman"/>
                <w:b/>
                <w:bCs/>
                <w:szCs w:val="24"/>
                <w:lang w:val="en-GB" w:eastAsia="en-GB"/>
              </w:rPr>
              <w:t xml:space="preserve"> Dwellings</w:t>
            </w:r>
          </w:p>
        </w:tc>
      </w:tr>
      <w:tr w:rsidR="00B42291" w:rsidRPr="005F4AB5" w14:paraId="1B00DB4C" w14:textId="77777777" w:rsidTr="004F1468">
        <w:trPr>
          <w:cantSplit/>
          <w:trHeight w:val="1015"/>
          <w:tblHeader/>
        </w:trPr>
        <w:tc>
          <w:tcPr>
            <w:tcW w:w="1689" w:type="dxa"/>
            <w:tcBorders>
              <w:top w:val="nil"/>
              <w:left w:val="single" w:sz="8" w:space="0" w:color="auto"/>
              <w:bottom w:val="nil"/>
              <w:right w:val="single" w:sz="8" w:space="0" w:color="auto"/>
            </w:tcBorders>
            <w:vAlign w:val="center"/>
            <w:hideMark/>
          </w:tcPr>
          <w:p w14:paraId="3AEEE932" w14:textId="77777777" w:rsidR="00D15BA1" w:rsidRPr="005F4AB5" w:rsidRDefault="00D15BA1" w:rsidP="000D58DB">
            <w:pPr>
              <w:widowControl/>
              <w:autoSpaceDE/>
              <w:autoSpaceDN/>
              <w:rPr>
                <w:rFonts w:eastAsia="Times New Roman"/>
                <w:szCs w:val="24"/>
                <w:lang w:val="en-GB" w:eastAsia="en-GB"/>
              </w:rPr>
            </w:pPr>
            <w:r w:rsidRPr="005F4AB5">
              <w:rPr>
                <w:rFonts w:eastAsia="Times New Roman"/>
                <w:szCs w:val="24"/>
                <w:lang w:val="en-GB" w:eastAsia="en-GB"/>
              </w:rPr>
              <w:t>A</w:t>
            </w:r>
          </w:p>
        </w:tc>
        <w:tc>
          <w:tcPr>
            <w:tcW w:w="3414" w:type="dxa"/>
            <w:tcBorders>
              <w:top w:val="nil"/>
              <w:left w:val="nil"/>
              <w:bottom w:val="nil"/>
              <w:right w:val="single" w:sz="8" w:space="0" w:color="auto"/>
            </w:tcBorders>
            <w:vAlign w:val="center"/>
            <w:hideMark/>
          </w:tcPr>
          <w:p w14:paraId="7A74F3B5" w14:textId="2DA7D041" w:rsidR="00D15BA1" w:rsidRPr="005F4AB5" w:rsidRDefault="00791BB0" w:rsidP="000D58DB">
            <w:pPr>
              <w:widowControl/>
              <w:autoSpaceDE/>
              <w:autoSpaceDN/>
              <w:rPr>
                <w:rFonts w:eastAsia="Times New Roman"/>
                <w:szCs w:val="24"/>
                <w:lang w:val="en-GB" w:eastAsia="en-GB"/>
              </w:rPr>
            </w:pPr>
            <w:r w:rsidRPr="005F4AB5">
              <w:rPr>
                <w:rFonts w:eastAsia="Times New Roman"/>
                <w:szCs w:val="24"/>
                <w:lang w:val="en-GB" w:eastAsia="en-GB"/>
              </w:rPr>
              <w:t>Five-y</w:t>
            </w:r>
            <w:r w:rsidR="00D15BA1" w:rsidRPr="005F4AB5">
              <w:rPr>
                <w:rFonts w:eastAsia="Times New Roman"/>
                <w:szCs w:val="24"/>
                <w:lang w:val="en-GB" w:eastAsia="en-GB"/>
              </w:rPr>
              <w:t>ear Local Housing Need figure</w:t>
            </w:r>
          </w:p>
        </w:tc>
        <w:tc>
          <w:tcPr>
            <w:tcW w:w="3374" w:type="dxa"/>
            <w:tcBorders>
              <w:top w:val="nil"/>
              <w:left w:val="nil"/>
              <w:bottom w:val="nil"/>
              <w:right w:val="single" w:sz="8" w:space="0" w:color="auto"/>
            </w:tcBorders>
            <w:vAlign w:val="center"/>
            <w:hideMark/>
          </w:tcPr>
          <w:p w14:paraId="73B67112" w14:textId="640E86A7" w:rsidR="00D15BA1" w:rsidRPr="005F4AB5" w:rsidRDefault="00D15BA1" w:rsidP="000D58DB">
            <w:pPr>
              <w:widowControl/>
              <w:autoSpaceDE/>
              <w:autoSpaceDN/>
              <w:rPr>
                <w:rFonts w:eastAsia="Times New Roman"/>
                <w:szCs w:val="24"/>
                <w:lang w:val="en-GB" w:eastAsia="en-GB"/>
              </w:rPr>
            </w:pPr>
            <w:r w:rsidRPr="005F4AB5">
              <w:rPr>
                <w:rFonts w:eastAsia="Times New Roman"/>
                <w:szCs w:val="24"/>
                <w:lang w:val="en-GB" w:eastAsia="en-GB"/>
              </w:rPr>
              <w:t>Local Housing Need figure (</w:t>
            </w:r>
            <w:r w:rsidR="00D80747" w:rsidRPr="005F4AB5">
              <w:rPr>
                <w:rFonts w:eastAsia="Times New Roman"/>
                <w:szCs w:val="24"/>
                <w:lang w:val="en-GB" w:eastAsia="en-GB"/>
              </w:rPr>
              <w:t>700</w:t>
            </w:r>
            <w:r w:rsidR="004864FB" w:rsidRPr="005F4AB5">
              <w:rPr>
                <w:rFonts w:eastAsia="Times New Roman"/>
                <w:szCs w:val="24"/>
                <w:lang w:val="en-GB" w:eastAsia="en-GB"/>
              </w:rPr>
              <w:t xml:space="preserve"> </w:t>
            </w:r>
            <w:r w:rsidR="009930E6" w:rsidRPr="005F4AB5">
              <w:rPr>
                <w:rFonts w:eastAsia="Times New Roman"/>
                <w:szCs w:val="24"/>
                <w:lang w:val="en-GB" w:eastAsia="en-GB"/>
              </w:rPr>
              <w:t>per annum</w:t>
            </w:r>
            <w:r w:rsidRPr="005F4AB5">
              <w:rPr>
                <w:rFonts w:eastAsia="Times New Roman"/>
                <w:szCs w:val="24"/>
                <w:lang w:val="en-GB" w:eastAsia="en-GB"/>
              </w:rPr>
              <w:t xml:space="preserve">) </w:t>
            </w:r>
            <w:r w:rsidR="00916A03" w:rsidRPr="005F4AB5">
              <w:rPr>
                <w:rFonts w:eastAsia="Times New Roman"/>
                <w:szCs w:val="24"/>
                <w:lang w:val="en-GB" w:eastAsia="en-GB"/>
              </w:rPr>
              <w:t xml:space="preserve">x </w:t>
            </w:r>
            <w:r w:rsidRPr="005F4AB5">
              <w:rPr>
                <w:rFonts w:eastAsia="Times New Roman"/>
                <w:szCs w:val="24"/>
                <w:lang w:val="en-GB" w:eastAsia="en-GB"/>
              </w:rPr>
              <w:t xml:space="preserve">5 (years)  </w:t>
            </w:r>
          </w:p>
        </w:tc>
        <w:tc>
          <w:tcPr>
            <w:tcW w:w="1446" w:type="dxa"/>
            <w:tcBorders>
              <w:top w:val="nil"/>
              <w:left w:val="nil"/>
              <w:bottom w:val="nil"/>
              <w:right w:val="single" w:sz="8" w:space="0" w:color="auto"/>
            </w:tcBorders>
            <w:vAlign w:val="center"/>
            <w:hideMark/>
          </w:tcPr>
          <w:p w14:paraId="391CA55E" w14:textId="0BD6D8F3" w:rsidR="00D15BA1" w:rsidRPr="005F4AB5" w:rsidRDefault="00D80747" w:rsidP="000D58DB">
            <w:pPr>
              <w:widowControl/>
              <w:autoSpaceDE/>
              <w:autoSpaceDN/>
              <w:rPr>
                <w:rFonts w:eastAsia="Times New Roman"/>
                <w:szCs w:val="24"/>
                <w:lang w:val="en-GB" w:eastAsia="en-GB"/>
              </w:rPr>
            </w:pPr>
            <w:r w:rsidRPr="005F4AB5">
              <w:rPr>
                <w:rFonts w:eastAsia="Times New Roman"/>
                <w:szCs w:val="24"/>
                <w:lang w:val="en-GB" w:eastAsia="en-GB"/>
              </w:rPr>
              <w:t>3</w:t>
            </w:r>
            <w:r w:rsidR="00676637" w:rsidRPr="005F4AB5">
              <w:rPr>
                <w:rFonts w:eastAsia="Times New Roman"/>
                <w:szCs w:val="24"/>
                <w:lang w:val="en-GB" w:eastAsia="en-GB"/>
              </w:rPr>
              <w:t>,</w:t>
            </w:r>
            <w:r w:rsidRPr="005F4AB5">
              <w:rPr>
                <w:rFonts w:eastAsia="Times New Roman"/>
                <w:szCs w:val="24"/>
                <w:lang w:val="en-GB" w:eastAsia="en-GB"/>
              </w:rPr>
              <w:t>500</w:t>
            </w:r>
          </w:p>
        </w:tc>
      </w:tr>
      <w:tr w:rsidR="00B42291" w:rsidRPr="005F4AB5" w14:paraId="4FFF67DF" w14:textId="77777777" w:rsidTr="00791BB0">
        <w:trPr>
          <w:cantSplit/>
          <w:trHeight w:val="1015"/>
          <w:tblHeader/>
        </w:trPr>
        <w:tc>
          <w:tcPr>
            <w:tcW w:w="1689" w:type="dxa"/>
            <w:tcBorders>
              <w:top w:val="nil"/>
              <w:left w:val="single" w:sz="8" w:space="0" w:color="auto"/>
              <w:bottom w:val="single" w:sz="8" w:space="0" w:color="auto"/>
              <w:right w:val="single" w:sz="8" w:space="0" w:color="auto"/>
            </w:tcBorders>
            <w:vAlign w:val="center"/>
          </w:tcPr>
          <w:p w14:paraId="66C88DD2" w14:textId="1B0EB932" w:rsidR="00676637" w:rsidRPr="005F4AB5" w:rsidRDefault="00676637" w:rsidP="000D58DB">
            <w:pPr>
              <w:widowControl/>
              <w:autoSpaceDE/>
              <w:autoSpaceDN/>
              <w:rPr>
                <w:rFonts w:eastAsia="Times New Roman"/>
                <w:szCs w:val="24"/>
                <w:lang w:val="en-GB" w:eastAsia="en-GB"/>
              </w:rPr>
            </w:pPr>
            <w:r w:rsidRPr="005F4AB5">
              <w:rPr>
                <w:rFonts w:eastAsia="Times New Roman"/>
                <w:szCs w:val="24"/>
                <w:lang w:val="en-GB" w:eastAsia="en-GB"/>
              </w:rPr>
              <w:t>B</w:t>
            </w:r>
          </w:p>
        </w:tc>
        <w:tc>
          <w:tcPr>
            <w:tcW w:w="3414" w:type="dxa"/>
            <w:tcBorders>
              <w:top w:val="nil"/>
              <w:left w:val="nil"/>
              <w:bottom w:val="single" w:sz="8" w:space="0" w:color="auto"/>
              <w:right w:val="single" w:sz="8" w:space="0" w:color="auto"/>
            </w:tcBorders>
            <w:vAlign w:val="center"/>
          </w:tcPr>
          <w:p w14:paraId="36F5A188" w14:textId="0114D5A4" w:rsidR="00676637" w:rsidRPr="005F4AB5" w:rsidRDefault="00676637" w:rsidP="000D58DB">
            <w:pPr>
              <w:widowControl/>
              <w:autoSpaceDE/>
              <w:autoSpaceDN/>
              <w:rPr>
                <w:rFonts w:eastAsia="Times New Roman"/>
                <w:szCs w:val="24"/>
                <w:lang w:val="en-GB" w:eastAsia="en-GB"/>
              </w:rPr>
            </w:pPr>
            <w:r w:rsidRPr="005F4AB5">
              <w:rPr>
                <w:rFonts w:eastAsia="Times New Roman"/>
                <w:szCs w:val="24"/>
                <w:lang w:val="en-GB" w:eastAsia="en-GB"/>
              </w:rPr>
              <w:t>Five-year Local Housing Need figure with NPPF buffer (</w:t>
            </w:r>
            <w:r w:rsidR="00D80747" w:rsidRPr="005F4AB5">
              <w:rPr>
                <w:rFonts w:eastAsia="Times New Roman"/>
                <w:szCs w:val="24"/>
                <w:lang w:val="en-GB" w:eastAsia="en-GB"/>
              </w:rPr>
              <w:t>5</w:t>
            </w:r>
            <w:r w:rsidRPr="005F4AB5">
              <w:rPr>
                <w:rFonts w:eastAsia="Times New Roman"/>
                <w:szCs w:val="24"/>
                <w:lang w:val="en-GB" w:eastAsia="en-GB"/>
              </w:rPr>
              <w:t>%)</w:t>
            </w:r>
          </w:p>
        </w:tc>
        <w:tc>
          <w:tcPr>
            <w:tcW w:w="3374" w:type="dxa"/>
            <w:tcBorders>
              <w:top w:val="nil"/>
              <w:left w:val="nil"/>
              <w:bottom w:val="single" w:sz="8" w:space="0" w:color="auto"/>
              <w:right w:val="single" w:sz="8" w:space="0" w:color="auto"/>
            </w:tcBorders>
            <w:vAlign w:val="center"/>
          </w:tcPr>
          <w:p w14:paraId="0842BBFF" w14:textId="11371130" w:rsidR="00676637" w:rsidRPr="005F4AB5" w:rsidRDefault="002E6EDC" w:rsidP="000D58DB">
            <w:pPr>
              <w:widowControl/>
              <w:autoSpaceDE/>
              <w:autoSpaceDN/>
              <w:rPr>
                <w:rFonts w:eastAsia="Times New Roman"/>
                <w:szCs w:val="24"/>
                <w:lang w:val="en-GB" w:eastAsia="en-GB"/>
              </w:rPr>
            </w:pPr>
            <w:r w:rsidRPr="005F4AB5">
              <w:rPr>
                <w:rFonts w:eastAsia="Times New Roman"/>
                <w:szCs w:val="24"/>
                <w:lang w:val="en-GB" w:eastAsia="en-GB"/>
              </w:rPr>
              <w:t>Row A + (Row A / 100 x 5)</w:t>
            </w:r>
          </w:p>
        </w:tc>
        <w:tc>
          <w:tcPr>
            <w:tcW w:w="1446" w:type="dxa"/>
            <w:tcBorders>
              <w:top w:val="nil"/>
              <w:left w:val="nil"/>
              <w:bottom w:val="single" w:sz="8" w:space="0" w:color="auto"/>
              <w:right w:val="single" w:sz="8" w:space="0" w:color="auto"/>
            </w:tcBorders>
            <w:vAlign w:val="center"/>
          </w:tcPr>
          <w:p w14:paraId="0332D419" w14:textId="55BA67D4" w:rsidR="00676637" w:rsidRPr="005F4AB5" w:rsidRDefault="00D80747" w:rsidP="000D58DB">
            <w:pPr>
              <w:widowControl/>
              <w:autoSpaceDE/>
              <w:autoSpaceDN/>
              <w:rPr>
                <w:rFonts w:eastAsia="Times New Roman"/>
                <w:szCs w:val="24"/>
                <w:lang w:val="en-GB" w:eastAsia="en-GB"/>
              </w:rPr>
            </w:pPr>
            <w:r w:rsidRPr="005F4AB5">
              <w:rPr>
                <w:rFonts w:eastAsia="Times New Roman"/>
                <w:szCs w:val="24"/>
                <w:lang w:val="en-GB" w:eastAsia="en-GB"/>
              </w:rPr>
              <w:t>3,675</w:t>
            </w:r>
          </w:p>
        </w:tc>
      </w:tr>
    </w:tbl>
    <w:p w14:paraId="725E0818" w14:textId="77777777" w:rsidR="00676637" w:rsidRPr="005F4AB5" w:rsidRDefault="00676637" w:rsidP="00A07811">
      <w:pPr>
        <w:pStyle w:val="Heading2"/>
        <w:numPr>
          <w:ilvl w:val="0"/>
          <w:numId w:val="0"/>
        </w:numPr>
      </w:pPr>
      <w:bookmarkStart w:id="39" w:name="_Hlk173218442"/>
      <w:bookmarkEnd w:id="37"/>
    </w:p>
    <w:p w14:paraId="3F134B6F" w14:textId="37B0613E" w:rsidR="00837624" w:rsidRPr="005F4AB5" w:rsidRDefault="00995EF6" w:rsidP="0084751A">
      <w:pPr>
        <w:pStyle w:val="Heading2"/>
        <w:ind w:hanging="720"/>
        <w:rPr>
          <w:color w:val="auto"/>
        </w:rPr>
      </w:pPr>
      <w:bookmarkStart w:id="40" w:name="_Toc210303294"/>
      <w:bookmarkStart w:id="41" w:name="_Toc210308085"/>
      <w:r w:rsidRPr="005F4AB5">
        <w:rPr>
          <w:color w:val="auto"/>
        </w:rPr>
        <w:t>Housing supply and delivery</w:t>
      </w:r>
      <w:bookmarkEnd w:id="40"/>
      <w:bookmarkEnd w:id="41"/>
      <w:r w:rsidRPr="005F4AB5">
        <w:rPr>
          <w:color w:val="auto"/>
        </w:rPr>
        <w:t xml:space="preserve"> </w:t>
      </w:r>
    </w:p>
    <w:p w14:paraId="5A0D112A" w14:textId="62FCC14C" w:rsidR="00C06A0D" w:rsidRPr="005F4AB5" w:rsidRDefault="00C06A0D" w:rsidP="000D58DB">
      <w:pPr>
        <w:pStyle w:val="ListParagraph"/>
        <w:widowControl/>
        <w:numPr>
          <w:ilvl w:val="1"/>
          <w:numId w:val="7"/>
        </w:numPr>
        <w:autoSpaceDE/>
        <w:autoSpaceDN/>
        <w:spacing w:after="120" w:line="276" w:lineRule="auto"/>
        <w:ind w:hanging="720"/>
        <w:jc w:val="left"/>
        <w:rPr>
          <w:i/>
          <w:szCs w:val="24"/>
        </w:rPr>
      </w:pPr>
      <w:r w:rsidRPr="005F4AB5">
        <w:rPr>
          <w:szCs w:val="24"/>
        </w:rPr>
        <w:t xml:space="preserve">In order to consider whether a site should contribute toward the </w:t>
      </w:r>
      <w:r w:rsidR="00F80FB2" w:rsidRPr="005F4AB5">
        <w:rPr>
          <w:szCs w:val="24"/>
        </w:rPr>
        <w:t xml:space="preserve">City’s </w:t>
      </w:r>
      <w:r w:rsidRPr="005F4AB5">
        <w:rPr>
          <w:szCs w:val="24"/>
        </w:rPr>
        <w:t xml:space="preserve">supply of housing land, </w:t>
      </w:r>
      <w:r w:rsidR="00F80FB2" w:rsidRPr="005F4AB5">
        <w:rPr>
          <w:szCs w:val="24"/>
        </w:rPr>
        <w:t>GCC</w:t>
      </w:r>
      <w:r w:rsidRPr="005F4AB5">
        <w:rPr>
          <w:szCs w:val="24"/>
        </w:rPr>
        <w:t xml:space="preserve"> have had regard to the NPPF, including paragraphs </w:t>
      </w:r>
      <w:r w:rsidR="008954C2" w:rsidRPr="005F4AB5">
        <w:rPr>
          <w:szCs w:val="24"/>
        </w:rPr>
        <w:t xml:space="preserve">78 </w:t>
      </w:r>
      <w:r w:rsidR="00314013" w:rsidRPr="005F4AB5">
        <w:rPr>
          <w:szCs w:val="24"/>
        </w:rPr>
        <w:t xml:space="preserve">and </w:t>
      </w:r>
      <w:r w:rsidR="008954C2" w:rsidRPr="005F4AB5">
        <w:rPr>
          <w:szCs w:val="24"/>
        </w:rPr>
        <w:t xml:space="preserve">232 </w:t>
      </w:r>
      <w:r w:rsidRPr="005F4AB5">
        <w:rPr>
          <w:szCs w:val="24"/>
        </w:rPr>
        <w:t xml:space="preserve">and the definition of ‘deliverable’ within the glossary. The glossary to the NPPF states </w:t>
      </w:r>
      <w:r w:rsidRPr="005F4AB5">
        <w:rPr>
          <w:i/>
          <w:szCs w:val="24"/>
        </w:rPr>
        <w:t>“To be considered deliverable, sites for housing should be available now, offer a suitable location for development now, and be achievable with a realistic prospect that housing will be delivered on the site within five years. In particular:</w:t>
      </w:r>
    </w:p>
    <w:p w14:paraId="44F289C0" w14:textId="77777777" w:rsidR="00C06A0D" w:rsidRPr="005F4AB5" w:rsidRDefault="00C06A0D" w:rsidP="000D58DB">
      <w:pPr>
        <w:widowControl/>
        <w:autoSpaceDE/>
        <w:autoSpaceDN/>
        <w:spacing w:after="120" w:line="276" w:lineRule="auto"/>
        <w:ind w:left="709"/>
        <w:rPr>
          <w:i/>
          <w:szCs w:val="24"/>
        </w:rPr>
      </w:pPr>
      <w:r w:rsidRPr="005F4AB5">
        <w:rPr>
          <w:i/>
          <w:szCs w:val="24"/>
        </w:rPr>
        <w:t xml:space="preserve">a) sites which do not involve major development and have planning permission, and all sites with detailed planning permission, should be considered deliverable until permission expires, unless there is clear evidence that homes will not be delivered within five years (for example because they are no longer viable, there is no longer a demand for the type of units or sites have long term phasing plans). </w:t>
      </w:r>
    </w:p>
    <w:p w14:paraId="607C0F49" w14:textId="5F735253" w:rsidR="00E527BC" w:rsidRPr="005F4AB5" w:rsidRDefault="00C06A0D" w:rsidP="000D58DB">
      <w:pPr>
        <w:widowControl/>
        <w:autoSpaceDE/>
        <w:autoSpaceDN/>
        <w:spacing w:line="276" w:lineRule="auto"/>
        <w:ind w:left="709"/>
        <w:rPr>
          <w:i/>
          <w:szCs w:val="24"/>
        </w:rPr>
      </w:pPr>
      <w:r w:rsidRPr="005F4AB5">
        <w:rPr>
          <w:i/>
          <w:szCs w:val="24"/>
        </w:rPr>
        <w:t xml:space="preserve">b) where a site has outline planning permission for major development, has been allocated in a development plan, has a grant of permission in principle, or is identified on a brownfield </w:t>
      </w:r>
      <w:r w:rsidRPr="005F4AB5">
        <w:rPr>
          <w:i/>
          <w:szCs w:val="24"/>
        </w:rPr>
        <w:lastRenderedPageBreak/>
        <w:t xml:space="preserve">register, it should only be considered deliverable where there is clear evidence that housing completions will begin on site within five years”. </w:t>
      </w:r>
    </w:p>
    <w:p w14:paraId="0E2127CE" w14:textId="2BBF7D4E" w:rsidR="00EC5CFD" w:rsidRPr="005F4AB5" w:rsidRDefault="00EC5CFD" w:rsidP="00E8199A">
      <w:pPr>
        <w:rPr>
          <w:i/>
          <w:color w:val="00B050"/>
          <w:szCs w:val="24"/>
        </w:rPr>
      </w:pPr>
    </w:p>
    <w:p w14:paraId="36827152" w14:textId="7454407F" w:rsidR="00F52C53" w:rsidRPr="005F4AB5" w:rsidRDefault="00F52C53" w:rsidP="000D58DB">
      <w:pPr>
        <w:pStyle w:val="ListParagraph"/>
        <w:widowControl/>
        <w:numPr>
          <w:ilvl w:val="1"/>
          <w:numId w:val="7"/>
        </w:numPr>
        <w:autoSpaceDE/>
        <w:autoSpaceDN/>
        <w:spacing w:after="120" w:line="276" w:lineRule="auto"/>
        <w:ind w:hanging="720"/>
        <w:jc w:val="left"/>
        <w:rPr>
          <w:i/>
          <w:szCs w:val="24"/>
        </w:rPr>
      </w:pPr>
      <w:r w:rsidRPr="005F4AB5">
        <w:rPr>
          <w:szCs w:val="24"/>
        </w:rPr>
        <w:t xml:space="preserve">The Planning Practice Guide: </w:t>
      </w:r>
      <w:hyperlink r:id="rId18" w:history="1">
        <w:r w:rsidRPr="005F4AB5">
          <w:rPr>
            <w:rStyle w:val="Hyperlink"/>
            <w:color w:val="auto"/>
            <w:szCs w:val="24"/>
          </w:rPr>
          <w:t>Housing supply and delivery at paragraph 007</w:t>
        </w:r>
        <w:r w:rsidR="007203C6" w:rsidRPr="005F4AB5">
          <w:rPr>
            <w:rStyle w:val="Hyperlink"/>
            <w:color w:val="auto"/>
            <w:szCs w:val="24"/>
          </w:rPr>
          <w:t xml:space="preserve">, </w:t>
        </w:r>
        <w:r w:rsidRPr="005F4AB5">
          <w:rPr>
            <w:rStyle w:val="Hyperlink"/>
            <w:color w:val="auto"/>
            <w:szCs w:val="24"/>
          </w:rPr>
          <w:t>Reference ID: 68-007-20190722</w:t>
        </w:r>
      </w:hyperlink>
      <w:r w:rsidRPr="005F4AB5">
        <w:rPr>
          <w:szCs w:val="24"/>
        </w:rPr>
        <w:t xml:space="preserve"> provides additional guidance on deliverability stating that </w:t>
      </w:r>
      <w:r w:rsidRPr="005F4AB5">
        <w:rPr>
          <w:i/>
          <w:szCs w:val="24"/>
        </w:rPr>
        <w:t xml:space="preserve">“…Such evidence, to demonstrate deliverability, may include: </w:t>
      </w:r>
    </w:p>
    <w:p w14:paraId="4260C014" w14:textId="6E82802D" w:rsidR="00F52C53" w:rsidRPr="005F4AB5" w:rsidRDefault="00F52C53" w:rsidP="000D58DB">
      <w:pPr>
        <w:widowControl/>
        <w:numPr>
          <w:ilvl w:val="0"/>
          <w:numId w:val="13"/>
        </w:numPr>
        <w:shd w:val="clear" w:color="auto" w:fill="FFFFFF"/>
        <w:tabs>
          <w:tab w:val="clear" w:pos="720"/>
          <w:tab w:val="num" w:pos="993"/>
        </w:tabs>
        <w:autoSpaceDE/>
        <w:autoSpaceDN/>
        <w:spacing w:after="120"/>
        <w:ind w:left="709" w:firstLine="0"/>
        <w:rPr>
          <w:rFonts w:asciiTheme="minorHAnsi" w:hAnsiTheme="minorHAnsi"/>
          <w:i/>
          <w:szCs w:val="24"/>
        </w:rPr>
      </w:pPr>
      <w:r w:rsidRPr="005F4AB5">
        <w:rPr>
          <w:i/>
          <w:szCs w:val="24"/>
        </w:rPr>
        <w:t xml:space="preserve"> </w:t>
      </w:r>
      <w:r w:rsidRPr="005F4AB5">
        <w:rPr>
          <w:rFonts w:asciiTheme="minorHAnsi" w:eastAsia="Times New Roman" w:hAnsiTheme="minorHAnsi" w:cs="Arial"/>
          <w:i/>
          <w:szCs w:val="24"/>
          <w:lang w:val="en-GB" w:eastAsia="en-GB"/>
        </w:rPr>
        <w:t>current</w:t>
      </w:r>
      <w:r w:rsidRPr="005F4AB5">
        <w:rPr>
          <w:rFonts w:asciiTheme="minorHAnsi" w:hAnsiTheme="minorHAnsi"/>
          <w:i/>
          <w:szCs w:val="24"/>
        </w:rPr>
        <w:t xml:space="preserve"> planning status – for example, on larger scale sites with outline or hybrid permission how much progress has been made towards approving reserved matters, or whether these link to a planning performance agreement that sets out the timescale for approval of reserved matters applications and discharge of conditions;</w:t>
      </w:r>
    </w:p>
    <w:p w14:paraId="14B5A3AC" w14:textId="77777777" w:rsidR="00F52C53" w:rsidRPr="005F4AB5" w:rsidRDefault="00F52C53" w:rsidP="000D58DB">
      <w:pPr>
        <w:widowControl/>
        <w:numPr>
          <w:ilvl w:val="0"/>
          <w:numId w:val="13"/>
        </w:numPr>
        <w:shd w:val="clear" w:color="auto" w:fill="FFFFFF"/>
        <w:tabs>
          <w:tab w:val="clear" w:pos="720"/>
          <w:tab w:val="num" w:pos="993"/>
        </w:tabs>
        <w:autoSpaceDE/>
        <w:autoSpaceDN/>
        <w:spacing w:after="120"/>
        <w:ind w:left="709" w:firstLine="0"/>
        <w:rPr>
          <w:rFonts w:asciiTheme="minorHAnsi" w:eastAsia="Times New Roman" w:hAnsiTheme="minorHAnsi" w:cs="Arial"/>
          <w:i/>
          <w:szCs w:val="24"/>
          <w:lang w:val="en-GB" w:eastAsia="en-GB"/>
        </w:rPr>
      </w:pPr>
      <w:r w:rsidRPr="005F4AB5">
        <w:rPr>
          <w:rFonts w:asciiTheme="minorHAnsi" w:eastAsia="Times New Roman" w:hAnsiTheme="minorHAnsi" w:cs="Arial"/>
          <w:i/>
          <w:szCs w:val="24"/>
          <w:lang w:val="en-GB" w:eastAsia="en-GB"/>
        </w:rPr>
        <w:t>firm progress being made towards the submission of an application – for example, a written agreement between the local planning authority and the site developer(s) which confirms the developers’ delivery intentions and anticipated start and build-out rates;</w:t>
      </w:r>
    </w:p>
    <w:p w14:paraId="1754C040" w14:textId="77777777" w:rsidR="00F52C53" w:rsidRPr="005F4AB5" w:rsidRDefault="00F52C53" w:rsidP="000D58DB">
      <w:pPr>
        <w:widowControl/>
        <w:numPr>
          <w:ilvl w:val="0"/>
          <w:numId w:val="13"/>
        </w:numPr>
        <w:shd w:val="clear" w:color="auto" w:fill="FFFFFF"/>
        <w:tabs>
          <w:tab w:val="clear" w:pos="720"/>
          <w:tab w:val="num" w:pos="993"/>
        </w:tabs>
        <w:autoSpaceDE/>
        <w:autoSpaceDN/>
        <w:spacing w:after="120"/>
        <w:ind w:left="709" w:firstLine="0"/>
        <w:rPr>
          <w:rFonts w:asciiTheme="minorHAnsi" w:eastAsia="Times New Roman" w:hAnsiTheme="minorHAnsi" w:cs="Arial"/>
          <w:i/>
          <w:szCs w:val="24"/>
          <w:lang w:val="en-GB" w:eastAsia="en-GB"/>
        </w:rPr>
      </w:pPr>
      <w:r w:rsidRPr="005F4AB5">
        <w:rPr>
          <w:rFonts w:asciiTheme="minorHAnsi" w:eastAsia="Times New Roman" w:hAnsiTheme="minorHAnsi" w:cs="Arial"/>
          <w:i/>
          <w:szCs w:val="24"/>
          <w:lang w:val="en-GB" w:eastAsia="en-GB"/>
        </w:rPr>
        <w:t>firm progress with site assessment work; or</w:t>
      </w:r>
    </w:p>
    <w:p w14:paraId="296004A9" w14:textId="080E9BA6" w:rsidR="00F52C53" w:rsidRPr="005F4AB5" w:rsidRDefault="00F52C53" w:rsidP="000D58DB">
      <w:pPr>
        <w:widowControl/>
        <w:numPr>
          <w:ilvl w:val="0"/>
          <w:numId w:val="13"/>
        </w:numPr>
        <w:shd w:val="clear" w:color="auto" w:fill="FFFFFF"/>
        <w:tabs>
          <w:tab w:val="clear" w:pos="720"/>
          <w:tab w:val="num" w:pos="993"/>
        </w:tabs>
        <w:autoSpaceDE/>
        <w:autoSpaceDN/>
        <w:ind w:left="709" w:firstLine="0"/>
        <w:rPr>
          <w:rFonts w:asciiTheme="minorHAnsi" w:eastAsia="Times New Roman" w:hAnsiTheme="minorHAnsi" w:cs="Arial"/>
          <w:i/>
          <w:szCs w:val="24"/>
          <w:lang w:val="en-GB" w:eastAsia="en-GB"/>
        </w:rPr>
      </w:pPr>
      <w:r w:rsidRPr="005F4AB5">
        <w:rPr>
          <w:rFonts w:asciiTheme="minorHAnsi" w:eastAsia="Times New Roman" w:hAnsiTheme="minorHAnsi" w:cs="Arial"/>
          <w:i/>
          <w:szCs w:val="24"/>
          <w:lang w:val="en-GB" w:eastAsia="en-GB"/>
        </w:rPr>
        <w:t>clear relevant information about site viability, ownership constraints or infrastructure provision, such as successful participation in bids for large-scale infrastructure funding or other similar projects…”</w:t>
      </w:r>
    </w:p>
    <w:p w14:paraId="3EA07E56" w14:textId="0AEF5A25" w:rsidR="00F52C53" w:rsidRPr="005F4AB5" w:rsidRDefault="00F52C53" w:rsidP="000D58DB">
      <w:pPr>
        <w:pStyle w:val="ListParagraph"/>
        <w:widowControl/>
        <w:autoSpaceDE/>
        <w:autoSpaceDN/>
        <w:spacing w:line="276" w:lineRule="auto"/>
        <w:ind w:left="720" w:firstLine="0"/>
        <w:jc w:val="left"/>
        <w:rPr>
          <w:szCs w:val="24"/>
        </w:rPr>
      </w:pPr>
    </w:p>
    <w:p w14:paraId="1D5C9175" w14:textId="2754C78F" w:rsidR="00995EF6" w:rsidRPr="005F4AB5" w:rsidRDefault="00AB3647" w:rsidP="00995EF6">
      <w:pPr>
        <w:pStyle w:val="ListParagraph"/>
        <w:widowControl/>
        <w:numPr>
          <w:ilvl w:val="1"/>
          <w:numId w:val="7"/>
        </w:numPr>
        <w:autoSpaceDE/>
        <w:autoSpaceDN/>
        <w:spacing w:line="276" w:lineRule="auto"/>
        <w:ind w:hanging="720"/>
        <w:jc w:val="left"/>
        <w:rPr>
          <w:i/>
          <w:szCs w:val="24"/>
        </w:rPr>
      </w:pPr>
      <w:r w:rsidRPr="005F4AB5">
        <w:rPr>
          <w:szCs w:val="24"/>
        </w:rPr>
        <w:t>There are various references to ‘windfall’ sites within the NPPF, including at paragraph</w:t>
      </w:r>
      <w:r w:rsidR="006C0B8A" w:rsidRPr="005F4AB5">
        <w:rPr>
          <w:szCs w:val="24"/>
        </w:rPr>
        <w:t>s</w:t>
      </w:r>
      <w:r w:rsidRPr="005F4AB5">
        <w:rPr>
          <w:szCs w:val="24"/>
        </w:rPr>
        <w:t xml:space="preserve"> </w:t>
      </w:r>
      <w:r w:rsidR="00A16C18" w:rsidRPr="005F4AB5">
        <w:rPr>
          <w:szCs w:val="24"/>
        </w:rPr>
        <w:t xml:space="preserve">73 </w:t>
      </w:r>
      <w:r w:rsidR="006C0B8A" w:rsidRPr="005F4AB5">
        <w:rPr>
          <w:szCs w:val="24"/>
        </w:rPr>
        <w:t>and</w:t>
      </w:r>
      <w:r w:rsidR="00F4100E" w:rsidRPr="005F4AB5">
        <w:rPr>
          <w:szCs w:val="24"/>
        </w:rPr>
        <w:t xml:space="preserve"> </w:t>
      </w:r>
      <w:r w:rsidR="00A16C18" w:rsidRPr="005F4AB5">
        <w:rPr>
          <w:szCs w:val="24"/>
        </w:rPr>
        <w:t>75</w:t>
      </w:r>
      <w:r w:rsidRPr="005F4AB5">
        <w:rPr>
          <w:szCs w:val="24"/>
        </w:rPr>
        <w:t xml:space="preserve">, </w:t>
      </w:r>
      <w:r w:rsidR="006C0B8A" w:rsidRPr="005F4AB5">
        <w:rPr>
          <w:szCs w:val="24"/>
        </w:rPr>
        <w:t xml:space="preserve">the latter </w:t>
      </w:r>
      <w:r w:rsidRPr="005F4AB5">
        <w:rPr>
          <w:szCs w:val="24"/>
        </w:rPr>
        <w:t xml:space="preserve">which states </w:t>
      </w:r>
      <w:r w:rsidRPr="005F4AB5">
        <w:rPr>
          <w:i/>
          <w:szCs w:val="24"/>
        </w:rPr>
        <w:t xml:space="preserve">“Where an allowance is to be made for windfall sites as part of anticipated supply, there should be compelling evidence that they will provide a reliable source of supply. Any allowance should be realistic having regard to the strategic housing land availability assessment, historic windfall delivery rates and expected future trends…”. </w:t>
      </w:r>
      <w:r w:rsidRPr="005F4AB5">
        <w:rPr>
          <w:iCs/>
          <w:szCs w:val="24"/>
        </w:rPr>
        <w:t xml:space="preserve">The glossary to the NPPF refers to ‘Windfall sites’ as </w:t>
      </w:r>
      <w:r w:rsidRPr="005F4AB5">
        <w:rPr>
          <w:i/>
          <w:szCs w:val="24"/>
        </w:rPr>
        <w:t>“Sites not specifically identified in the development plan”.</w:t>
      </w:r>
      <w:r w:rsidR="0055280C" w:rsidRPr="005F4AB5">
        <w:rPr>
          <w:szCs w:val="24"/>
        </w:rPr>
        <w:t xml:space="preserve"> </w:t>
      </w:r>
      <w:bookmarkEnd w:id="39"/>
    </w:p>
    <w:p w14:paraId="3AE5A8B3" w14:textId="77777777" w:rsidR="004F32C6" w:rsidRPr="005F4AB5" w:rsidRDefault="004F32C6" w:rsidP="004F32C6">
      <w:pPr>
        <w:pStyle w:val="ListParagraph"/>
        <w:widowControl/>
        <w:autoSpaceDE/>
        <w:autoSpaceDN/>
        <w:spacing w:line="276" w:lineRule="auto"/>
        <w:ind w:left="720" w:firstLine="0"/>
        <w:jc w:val="left"/>
        <w:rPr>
          <w:i/>
          <w:szCs w:val="24"/>
        </w:rPr>
      </w:pPr>
    </w:p>
    <w:p w14:paraId="35B6CD5D" w14:textId="77777777" w:rsidR="00995EF6" w:rsidRPr="005F4AB5" w:rsidRDefault="00995EF6" w:rsidP="00995EF6">
      <w:pPr>
        <w:widowControl/>
        <w:autoSpaceDE/>
        <w:autoSpaceDN/>
        <w:spacing w:line="276" w:lineRule="auto"/>
        <w:rPr>
          <w:i/>
          <w:szCs w:val="24"/>
        </w:rPr>
      </w:pPr>
    </w:p>
    <w:p w14:paraId="340E8C24" w14:textId="6980B72C" w:rsidR="00AD6A71" w:rsidRPr="005F4AB5" w:rsidRDefault="00AD6A71" w:rsidP="0084751A">
      <w:pPr>
        <w:pStyle w:val="Heading2"/>
        <w:ind w:hanging="720"/>
        <w:rPr>
          <w:color w:val="auto"/>
        </w:rPr>
      </w:pPr>
      <w:bookmarkStart w:id="42" w:name="_Toc210303295"/>
      <w:bookmarkStart w:id="43" w:name="_Toc210308086"/>
      <w:r w:rsidRPr="005F4AB5">
        <w:rPr>
          <w:color w:val="auto"/>
        </w:rPr>
        <w:t>S</w:t>
      </w:r>
      <w:r w:rsidR="00960115" w:rsidRPr="005F4AB5">
        <w:rPr>
          <w:color w:val="auto"/>
        </w:rPr>
        <w:t>upply of housing land</w:t>
      </w:r>
      <w:bookmarkEnd w:id="42"/>
      <w:bookmarkEnd w:id="43"/>
      <w:r w:rsidR="00960115" w:rsidRPr="005F4AB5">
        <w:rPr>
          <w:color w:val="auto"/>
        </w:rPr>
        <w:t xml:space="preserve"> </w:t>
      </w:r>
    </w:p>
    <w:p w14:paraId="412FC0F4" w14:textId="22E54D2A" w:rsidR="00800EE8" w:rsidRPr="005F4AB5" w:rsidRDefault="00B92400" w:rsidP="000D58DB">
      <w:pPr>
        <w:pStyle w:val="ListParagraph"/>
        <w:widowControl/>
        <w:numPr>
          <w:ilvl w:val="1"/>
          <w:numId w:val="7"/>
        </w:numPr>
        <w:autoSpaceDE/>
        <w:autoSpaceDN/>
        <w:spacing w:line="276" w:lineRule="auto"/>
        <w:ind w:hanging="720"/>
        <w:jc w:val="left"/>
        <w:rPr>
          <w:szCs w:val="24"/>
        </w:rPr>
      </w:pPr>
      <w:r w:rsidRPr="005F4AB5">
        <w:rPr>
          <w:szCs w:val="24"/>
        </w:rPr>
        <w:t xml:space="preserve">The following sources of supply have been included within </w:t>
      </w:r>
      <w:r w:rsidR="00081C8C" w:rsidRPr="005F4AB5">
        <w:rPr>
          <w:szCs w:val="24"/>
        </w:rPr>
        <w:t xml:space="preserve">the </w:t>
      </w:r>
      <w:r w:rsidR="00AB7245" w:rsidRPr="005F4AB5">
        <w:rPr>
          <w:szCs w:val="24"/>
        </w:rPr>
        <w:t>five-year</w:t>
      </w:r>
      <w:r w:rsidR="00800EE8" w:rsidRPr="005F4AB5">
        <w:rPr>
          <w:szCs w:val="24"/>
        </w:rPr>
        <w:t xml:space="preserve"> housing land supply calculation. </w:t>
      </w:r>
    </w:p>
    <w:p w14:paraId="7C6CF6E3" w14:textId="77777777" w:rsidR="00800EE8" w:rsidRPr="005F4AB5" w:rsidRDefault="00800EE8" w:rsidP="000D58DB">
      <w:pPr>
        <w:pStyle w:val="ListParagraph"/>
        <w:widowControl/>
        <w:autoSpaceDE/>
        <w:autoSpaceDN/>
        <w:spacing w:line="276" w:lineRule="auto"/>
        <w:ind w:left="720" w:firstLine="0"/>
        <w:jc w:val="left"/>
        <w:rPr>
          <w:szCs w:val="24"/>
        </w:rPr>
      </w:pPr>
    </w:p>
    <w:p w14:paraId="566DF821" w14:textId="3B45A606" w:rsidR="00800EE8" w:rsidRPr="005F4AB5" w:rsidRDefault="00800EE8" w:rsidP="000D58DB">
      <w:pPr>
        <w:pStyle w:val="Heading3"/>
      </w:pPr>
      <w:bookmarkStart w:id="44" w:name="_Toc210303296"/>
      <w:bookmarkStart w:id="45" w:name="_Toc210308087"/>
      <w:r w:rsidRPr="005F4AB5">
        <w:t>A – Major Sites for 10+ net dwellings with detailed planning permission</w:t>
      </w:r>
      <w:bookmarkEnd w:id="44"/>
      <w:bookmarkEnd w:id="45"/>
      <w:r w:rsidRPr="005F4AB5">
        <w:t xml:space="preserve"> </w:t>
      </w:r>
    </w:p>
    <w:p w14:paraId="44C693AA" w14:textId="01C418CE" w:rsidR="00800EE8" w:rsidRPr="005F4AB5" w:rsidRDefault="00800EE8" w:rsidP="000D58DB">
      <w:pPr>
        <w:pStyle w:val="ListParagraph"/>
        <w:widowControl/>
        <w:numPr>
          <w:ilvl w:val="1"/>
          <w:numId w:val="7"/>
        </w:numPr>
        <w:autoSpaceDE/>
        <w:autoSpaceDN/>
        <w:spacing w:line="276" w:lineRule="auto"/>
        <w:ind w:hanging="720"/>
        <w:jc w:val="left"/>
        <w:rPr>
          <w:szCs w:val="24"/>
        </w:rPr>
      </w:pPr>
      <w:r w:rsidRPr="005F4AB5">
        <w:rPr>
          <w:szCs w:val="24"/>
        </w:rPr>
        <w:t>Larger sites where a reserved matters or full permission has been granted</w:t>
      </w:r>
      <w:r w:rsidR="00DA5AD9" w:rsidRPr="005F4AB5">
        <w:rPr>
          <w:szCs w:val="24"/>
        </w:rPr>
        <w:t>.</w:t>
      </w:r>
      <w:r w:rsidRPr="005F4AB5">
        <w:rPr>
          <w:szCs w:val="24"/>
        </w:rPr>
        <w:t xml:space="preserve"> </w:t>
      </w:r>
    </w:p>
    <w:p w14:paraId="4D66755F" w14:textId="2EA0C6F7" w:rsidR="00800EE8" w:rsidRPr="005F4AB5" w:rsidRDefault="00800EE8" w:rsidP="000D58DB">
      <w:pPr>
        <w:pStyle w:val="ListParagraph"/>
        <w:widowControl/>
        <w:autoSpaceDE/>
        <w:autoSpaceDN/>
        <w:spacing w:line="276" w:lineRule="auto"/>
        <w:ind w:left="720" w:firstLine="0"/>
        <w:jc w:val="left"/>
        <w:rPr>
          <w:szCs w:val="24"/>
        </w:rPr>
      </w:pPr>
    </w:p>
    <w:p w14:paraId="0E63FE2A" w14:textId="2392741D" w:rsidR="00800EE8" w:rsidRPr="005F4AB5" w:rsidRDefault="00800EE8" w:rsidP="000D58DB">
      <w:pPr>
        <w:pStyle w:val="Heading3"/>
      </w:pPr>
      <w:bookmarkStart w:id="46" w:name="_Toc210303297"/>
      <w:bookmarkStart w:id="47" w:name="_Toc210308088"/>
      <w:r w:rsidRPr="005F4AB5">
        <w:t xml:space="preserve">B – Medium sites </w:t>
      </w:r>
      <w:r w:rsidR="00AD6A71" w:rsidRPr="005F4AB5">
        <w:t>(</w:t>
      </w:r>
      <w:r w:rsidRPr="005F4AB5">
        <w:t>5-9 net dwellings</w:t>
      </w:r>
      <w:r w:rsidR="00AD6A71" w:rsidRPr="005F4AB5">
        <w:t>)</w:t>
      </w:r>
      <w:r w:rsidRPr="005F4AB5">
        <w:t xml:space="preserve"> with outline or detailed </w:t>
      </w:r>
      <w:r w:rsidR="00081C8C" w:rsidRPr="005F4AB5">
        <w:t xml:space="preserve">planning </w:t>
      </w:r>
      <w:r w:rsidRPr="005F4AB5">
        <w:t>permission</w:t>
      </w:r>
      <w:bookmarkEnd w:id="46"/>
      <w:bookmarkEnd w:id="47"/>
      <w:r w:rsidRPr="005F4AB5">
        <w:t xml:space="preserve"> </w:t>
      </w:r>
    </w:p>
    <w:p w14:paraId="2A81E2CA" w14:textId="02116C84" w:rsidR="00AD6A71" w:rsidRPr="005F4AB5" w:rsidRDefault="00800EE8" w:rsidP="000D58DB">
      <w:pPr>
        <w:pStyle w:val="ListParagraph"/>
        <w:widowControl/>
        <w:numPr>
          <w:ilvl w:val="1"/>
          <w:numId w:val="7"/>
        </w:numPr>
        <w:autoSpaceDE/>
        <w:autoSpaceDN/>
        <w:spacing w:line="276" w:lineRule="auto"/>
        <w:ind w:hanging="720"/>
        <w:jc w:val="left"/>
      </w:pPr>
      <w:r w:rsidRPr="005F4AB5">
        <w:rPr>
          <w:szCs w:val="24"/>
        </w:rPr>
        <w:t xml:space="preserve">Sites for 5-9 dwellings where any planning permission has been granted. </w:t>
      </w:r>
      <w:r w:rsidR="00AD6A71" w:rsidRPr="005F4AB5">
        <w:rPr>
          <w:szCs w:val="24"/>
        </w:rPr>
        <w:t xml:space="preserve">Sites with ‘Permission in Principle’ for 5-9 net dwellings are not included. </w:t>
      </w:r>
    </w:p>
    <w:p w14:paraId="717CB601" w14:textId="70DDC350" w:rsidR="000C3590" w:rsidRPr="005F4AB5" w:rsidRDefault="000C3590">
      <w:pPr>
        <w:rPr>
          <w:rStyle w:val="normaltextrun"/>
          <w:rFonts w:ascii="Arial" w:hAnsi="Arial" w:cs="Arial"/>
          <w:shd w:val="clear" w:color="auto" w:fill="FFFFFF"/>
        </w:rPr>
      </w:pPr>
      <w:r w:rsidRPr="005F4AB5">
        <w:rPr>
          <w:rStyle w:val="normaltextrun"/>
          <w:rFonts w:ascii="Arial" w:hAnsi="Arial" w:cs="Arial"/>
          <w:shd w:val="clear" w:color="auto" w:fill="FFFFFF"/>
        </w:rPr>
        <w:br w:type="page"/>
      </w:r>
    </w:p>
    <w:p w14:paraId="069AC788" w14:textId="77777777" w:rsidR="00AD6A71" w:rsidRPr="005F4AB5" w:rsidRDefault="00AD6A71" w:rsidP="000D58DB">
      <w:pPr>
        <w:pStyle w:val="ListParagraph"/>
        <w:widowControl/>
        <w:autoSpaceDE/>
        <w:autoSpaceDN/>
        <w:spacing w:line="276" w:lineRule="auto"/>
        <w:ind w:left="720" w:firstLine="0"/>
        <w:jc w:val="left"/>
        <w:rPr>
          <w:rStyle w:val="normaltextrun"/>
          <w:rFonts w:ascii="Arial" w:hAnsi="Arial" w:cs="Arial"/>
          <w:color w:val="000000"/>
          <w:shd w:val="clear" w:color="auto" w:fill="FFFFFF"/>
        </w:rPr>
      </w:pPr>
    </w:p>
    <w:p w14:paraId="58F30B4B" w14:textId="1E7CB729" w:rsidR="00AD6A71" w:rsidRPr="005F4AB5" w:rsidRDefault="00AD6A71" w:rsidP="000D58DB">
      <w:pPr>
        <w:pStyle w:val="Heading3"/>
      </w:pPr>
      <w:bookmarkStart w:id="48" w:name="_Toc210303298"/>
      <w:bookmarkStart w:id="49" w:name="_Toc210308089"/>
      <w:r w:rsidRPr="005F4AB5">
        <w:t>C – Major sites for 10+ net dwellings with outline planning permission</w:t>
      </w:r>
      <w:bookmarkEnd w:id="48"/>
      <w:bookmarkEnd w:id="49"/>
      <w:r w:rsidRPr="005F4AB5">
        <w:t xml:space="preserve"> </w:t>
      </w:r>
    </w:p>
    <w:p w14:paraId="09F9365B" w14:textId="082F839D" w:rsidR="00AD6A71" w:rsidRPr="005F4AB5" w:rsidRDefault="00AD6A71" w:rsidP="004F32C6">
      <w:pPr>
        <w:pStyle w:val="ListParagraph"/>
        <w:widowControl/>
        <w:numPr>
          <w:ilvl w:val="1"/>
          <w:numId w:val="7"/>
        </w:numPr>
        <w:autoSpaceDE/>
        <w:autoSpaceDN/>
        <w:spacing w:line="276" w:lineRule="auto"/>
        <w:ind w:hanging="720"/>
        <w:jc w:val="left"/>
        <w:rPr>
          <w:szCs w:val="24"/>
        </w:rPr>
      </w:pPr>
      <w:r w:rsidRPr="005F4AB5">
        <w:rPr>
          <w:szCs w:val="24"/>
        </w:rPr>
        <w:t xml:space="preserve">Larger sites where an outline permission has been granted and there is clear evidence that housing completions will begin on site within five years. </w:t>
      </w:r>
    </w:p>
    <w:p w14:paraId="3FAAFD3B" w14:textId="77777777" w:rsidR="00B150B9" w:rsidRPr="005F4AB5" w:rsidRDefault="00B150B9" w:rsidP="000C3590">
      <w:pPr>
        <w:pStyle w:val="ListParagraph"/>
        <w:widowControl/>
        <w:autoSpaceDE/>
        <w:autoSpaceDN/>
        <w:spacing w:line="276" w:lineRule="auto"/>
        <w:ind w:left="720" w:firstLine="0"/>
        <w:jc w:val="left"/>
        <w:rPr>
          <w:rStyle w:val="normaltextrun"/>
          <w:szCs w:val="24"/>
        </w:rPr>
      </w:pPr>
    </w:p>
    <w:p w14:paraId="066817D2" w14:textId="40ACEB57" w:rsidR="00AD6A71" w:rsidRPr="005F4AB5" w:rsidRDefault="00AD6A71" w:rsidP="000D58DB">
      <w:pPr>
        <w:pStyle w:val="Heading3"/>
      </w:pPr>
      <w:bookmarkStart w:id="50" w:name="_Toc210303299"/>
      <w:bookmarkStart w:id="51" w:name="_Toc210308090"/>
      <w:r w:rsidRPr="005F4AB5">
        <w:t xml:space="preserve">D – Smaller sites (1-4 net </w:t>
      </w:r>
      <w:r w:rsidR="005F437E" w:rsidRPr="005F4AB5">
        <w:t xml:space="preserve">dwellings) with </w:t>
      </w:r>
      <w:r w:rsidR="00884B6C" w:rsidRPr="005F4AB5">
        <w:t xml:space="preserve">outline or detailed </w:t>
      </w:r>
      <w:r w:rsidR="00DA5AD9" w:rsidRPr="005F4AB5">
        <w:t>planning permission</w:t>
      </w:r>
      <w:bookmarkEnd w:id="50"/>
      <w:bookmarkEnd w:id="51"/>
      <w:r w:rsidR="00DA5AD9" w:rsidRPr="005F4AB5">
        <w:t xml:space="preserve"> </w:t>
      </w:r>
    </w:p>
    <w:p w14:paraId="61C4CE38" w14:textId="77777777" w:rsidR="007F1CB3" w:rsidRPr="005F4AB5" w:rsidRDefault="00AD6A71" w:rsidP="000D58DB">
      <w:pPr>
        <w:pStyle w:val="ListParagraph"/>
        <w:widowControl/>
        <w:numPr>
          <w:ilvl w:val="1"/>
          <w:numId w:val="7"/>
        </w:numPr>
        <w:autoSpaceDE/>
        <w:autoSpaceDN/>
        <w:spacing w:line="276" w:lineRule="auto"/>
        <w:ind w:hanging="720"/>
        <w:jc w:val="left"/>
      </w:pPr>
      <w:r w:rsidRPr="005F4AB5">
        <w:rPr>
          <w:szCs w:val="24"/>
        </w:rPr>
        <w:t xml:space="preserve">Smaller sites where planning permission has been granted </w:t>
      </w:r>
      <w:r w:rsidR="00B72566" w:rsidRPr="005F4AB5">
        <w:rPr>
          <w:szCs w:val="24"/>
        </w:rPr>
        <w:t>but the site has not started</w:t>
      </w:r>
      <w:r w:rsidR="00892356" w:rsidRPr="005F4AB5">
        <w:rPr>
          <w:szCs w:val="24"/>
        </w:rPr>
        <w:t xml:space="preserve">. </w:t>
      </w:r>
      <w:r w:rsidR="00B80D2A" w:rsidRPr="005F4AB5">
        <w:t>For these sites a lapse rate of 2</w:t>
      </w:r>
      <w:r w:rsidR="00F80FB2" w:rsidRPr="005F4AB5">
        <w:t>3</w:t>
      </w:r>
      <w:r w:rsidR="00B80D2A" w:rsidRPr="005F4AB5">
        <w:t>% has been calculated and total delivery</w:t>
      </w:r>
      <w:r w:rsidR="00B80D2A" w:rsidRPr="005F4AB5">
        <w:rPr>
          <w:spacing w:val="1"/>
        </w:rPr>
        <w:t xml:space="preserve"> </w:t>
      </w:r>
      <w:r w:rsidR="00B80D2A" w:rsidRPr="005F4AB5">
        <w:t>from these sites has been discounted accordingly. This approach to lapse rates of small</w:t>
      </w:r>
      <w:r w:rsidR="00B80D2A" w:rsidRPr="005F4AB5">
        <w:rPr>
          <w:spacing w:val="1"/>
        </w:rPr>
        <w:t xml:space="preserve"> </w:t>
      </w:r>
      <w:r w:rsidR="00B80D2A" w:rsidRPr="005F4AB5">
        <w:t xml:space="preserve">sites has been established </w:t>
      </w:r>
      <w:r w:rsidR="00081C8C" w:rsidRPr="005F4AB5">
        <w:t xml:space="preserve">since 2017 </w:t>
      </w:r>
      <w:r w:rsidR="00B80D2A" w:rsidRPr="005F4AB5">
        <w:t>through the JCS examination and is noted in the Inspector’s</w:t>
      </w:r>
      <w:r w:rsidR="00B80D2A" w:rsidRPr="005F4AB5">
        <w:rPr>
          <w:spacing w:val="1"/>
        </w:rPr>
        <w:t xml:space="preserve"> </w:t>
      </w:r>
      <w:r w:rsidR="00B80D2A" w:rsidRPr="005F4AB5">
        <w:t>Report.</w:t>
      </w:r>
      <w:r w:rsidR="00081C8C" w:rsidRPr="005F4AB5">
        <w:t xml:space="preserve"> Housing land supply is monitored annually and the lapse rate of 2</w:t>
      </w:r>
      <w:r w:rsidR="00F80FB2" w:rsidRPr="005F4AB5">
        <w:t>3</w:t>
      </w:r>
      <w:r w:rsidR="00081C8C" w:rsidRPr="005F4AB5">
        <w:t>% is currently higher than the rate of expired permissions</w:t>
      </w:r>
      <w:r w:rsidR="007027D2" w:rsidRPr="005F4AB5">
        <w:t>. For this year’s statement a cautious approach has continued to be taken and a lapse rate of 2</w:t>
      </w:r>
      <w:r w:rsidR="00F80FB2" w:rsidRPr="005F4AB5">
        <w:t>3</w:t>
      </w:r>
      <w:r w:rsidR="007027D2" w:rsidRPr="005F4AB5">
        <w:t xml:space="preserve">% has been retained. However, this will be reviewed annually in subsequent years. </w:t>
      </w:r>
    </w:p>
    <w:p w14:paraId="5103DF78" w14:textId="77777777" w:rsidR="007F1CB3" w:rsidRPr="005F4AB5" w:rsidRDefault="007F1CB3" w:rsidP="007F1CB3">
      <w:pPr>
        <w:pStyle w:val="ListParagraph"/>
        <w:widowControl/>
        <w:autoSpaceDE/>
        <w:autoSpaceDN/>
        <w:spacing w:line="276" w:lineRule="auto"/>
        <w:ind w:left="643" w:firstLine="0"/>
        <w:jc w:val="left"/>
      </w:pPr>
    </w:p>
    <w:p w14:paraId="005FF3C2" w14:textId="17E9072B" w:rsidR="00B80D2A" w:rsidRPr="005F4AB5" w:rsidRDefault="007F1CB3" w:rsidP="007F1CB3">
      <w:pPr>
        <w:pStyle w:val="Heading3"/>
      </w:pPr>
      <w:bookmarkStart w:id="52" w:name="_Toc210303300"/>
      <w:bookmarkStart w:id="53" w:name="_Toc210308091"/>
      <w:r w:rsidRPr="005F4AB5">
        <w:t>E – Windfall allowance (1-4 net dwellings)</w:t>
      </w:r>
      <w:bookmarkEnd w:id="52"/>
      <w:bookmarkEnd w:id="53"/>
    </w:p>
    <w:p w14:paraId="48D94102" w14:textId="12C3986B" w:rsidR="0028318A" w:rsidRPr="005F4AB5" w:rsidRDefault="007F1CB3" w:rsidP="000D58DB">
      <w:pPr>
        <w:pStyle w:val="ListParagraph"/>
        <w:widowControl/>
        <w:numPr>
          <w:ilvl w:val="1"/>
          <w:numId w:val="7"/>
        </w:numPr>
        <w:autoSpaceDE/>
        <w:autoSpaceDN/>
        <w:spacing w:line="276" w:lineRule="auto"/>
        <w:ind w:hanging="720"/>
        <w:jc w:val="left"/>
      </w:pPr>
      <w:r w:rsidRPr="005F4AB5">
        <w:t xml:space="preserve">A small site windfall allowance has been included within the supply and is based on an analysis of historic windfall delivery since 2015/16. </w:t>
      </w:r>
      <w:r w:rsidRPr="00435130">
        <w:rPr>
          <w:b/>
          <w:bCs/>
        </w:rPr>
        <w:t>Figure 3</w:t>
      </w:r>
      <w:r w:rsidRPr="005F4AB5">
        <w:t xml:space="preserve"> shows that there has been an average annual windfall delivery of 42 net dwellings. It is assumed that all small sites will be delivered in years one to two (2025/2026 and 2026/2027). To avoid double counting, the windfall supply does not contribute until years three to five (2027/28; 2028/29, and 2029/30).</w:t>
      </w:r>
    </w:p>
    <w:p w14:paraId="421A7911" w14:textId="77777777" w:rsidR="007F1CB3" w:rsidRPr="005F4AB5" w:rsidRDefault="007F1CB3" w:rsidP="007F1CB3">
      <w:pPr>
        <w:pStyle w:val="ListParagraph"/>
        <w:widowControl/>
        <w:autoSpaceDE/>
        <w:autoSpaceDN/>
        <w:spacing w:line="276" w:lineRule="auto"/>
        <w:ind w:left="643" w:firstLine="0"/>
        <w:jc w:val="left"/>
      </w:pPr>
    </w:p>
    <w:p w14:paraId="7DAFBA37" w14:textId="54A38663" w:rsidR="00772931" w:rsidRPr="005F4AB5" w:rsidRDefault="00772931" w:rsidP="000D58DB">
      <w:pPr>
        <w:widowControl/>
        <w:autoSpaceDE/>
        <w:autoSpaceDN/>
        <w:spacing w:after="120"/>
        <w:ind w:left="703"/>
        <w:textAlignment w:val="baseline"/>
        <w:rPr>
          <w:b/>
          <w:bCs/>
          <w:szCs w:val="24"/>
        </w:rPr>
      </w:pPr>
      <w:bookmarkStart w:id="54" w:name="_Ref122336557"/>
      <w:bookmarkStart w:id="55" w:name="_Toc208233933"/>
      <w:bookmarkStart w:id="56" w:name="_Ref135662791"/>
      <w:r w:rsidRPr="005F4AB5">
        <w:rPr>
          <w:b/>
          <w:bCs/>
          <w:szCs w:val="24"/>
        </w:rPr>
        <w:t xml:space="preserve">Figure </w:t>
      </w:r>
      <w:r w:rsidRPr="005F4AB5">
        <w:rPr>
          <w:b/>
          <w:bCs/>
          <w:szCs w:val="24"/>
        </w:rPr>
        <w:fldChar w:fldCharType="begin"/>
      </w:r>
      <w:r w:rsidRPr="005F4AB5">
        <w:rPr>
          <w:b/>
          <w:bCs/>
          <w:szCs w:val="24"/>
        </w:rPr>
        <w:instrText xml:space="preserve"> SEQ Figure \* ARABIC </w:instrText>
      </w:r>
      <w:r w:rsidRPr="005F4AB5">
        <w:rPr>
          <w:b/>
          <w:bCs/>
          <w:szCs w:val="24"/>
        </w:rPr>
        <w:fldChar w:fldCharType="separate"/>
      </w:r>
      <w:r w:rsidR="00033F80">
        <w:rPr>
          <w:b/>
          <w:bCs/>
          <w:noProof/>
          <w:szCs w:val="24"/>
        </w:rPr>
        <w:t>3</w:t>
      </w:r>
      <w:r w:rsidRPr="005F4AB5">
        <w:rPr>
          <w:b/>
          <w:bCs/>
          <w:szCs w:val="24"/>
        </w:rPr>
        <w:fldChar w:fldCharType="end"/>
      </w:r>
      <w:bookmarkEnd w:id="54"/>
      <w:r w:rsidRPr="005F4AB5">
        <w:rPr>
          <w:b/>
          <w:bCs/>
          <w:szCs w:val="24"/>
        </w:rPr>
        <w:t xml:space="preserve">: </w:t>
      </w:r>
      <w:bookmarkStart w:id="57" w:name="_Ref122336549"/>
      <w:r w:rsidRPr="005F4AB5">
        <w:rPr>
          <w:b/>
          <w:bCs/>
          <w:szCs w:val="24"/>
        </w:rPr>
        <w:t xml:space="preserve">Net dwellings (from 1 April to 31 March by year) completed on sites delivering </w:t>
      </w:r>
      <w:r w:rsidR="00960115" w:rsidRPr="005F4AB5">
        <w:rPr>
          <w:b/>
          <w:bCs/>
          <w:szCs w:val="24"/>
        </w:rPr>
        <w:t>one to four</w:t>
      </w:r>
      <w:r w:rsidRPr="005F4AB5">
        <w:rPr>
          <w:b/>
          <w:bCs/>
          <w:szCs w:val="24"/>
        </w:rPr>
        <w:t xml:space="preserve"> net dwellings</w:t>
      </w:r>
      <w:bookmarkEnd w:id="55"/>
      <w:r w:rsidRPr="005F4AB5">
        <w:rPr>
          <w:b/>
          <w:bCs/>
          <w:szCs w:val="24"/>
        </w:rPr>
        <w:t xml:space="preserve"> </w:t>
      </w:r>
      <w:bookmarkEnd w:id="56"/>
      <w:bookmarkEnd w:id="57"/>
    </w:p>
    <w:p w14:paraId="65B42559" w14:textId="77777777" w:rsidR="003A06F8" w:rsidRPr="005F4AB5" w:rsidRDefault="003A06F8" w:rsidP="000D58DB">
      <w:pPr>
        <w:widowControl/>
        <w:autoSpaceDE/>
        <w:autoSpaceDN/>
        <w:spacing w:after="120"/>
        <w:ind w:left="703"/>
        <w:textAlignment w:val="baseline"/>
        <w:rPr>
          <w:b/>
          <w:bCs/>
          <w:szCs w:val="24"/>
        </w:rPr>
      </w:pPr>
    </w:p>
    <w:tbl>
      <w:tblPr>
        <w:tblStyle w:val="TableGrid"/>
        <w:tblW w:w="0" w:type="auto"/>
        <w:tblInd w:w="704" w:type="dxa"/>
        <w:tblLayout w:type="fixed"/>
        <w:tblLook w:val="04A0" w:firstRow="1" w:lastRow="0" w:firstColumn="1" w:lastColumn="0" w:noHBand="0" w:noVBand="1"/>
      </w:tblPr>
      <w:tblGrid>
        <w:gridCol w:w="851"/>
        <w:gridCol w:w="992"/>
        <w:gridCol w:w="992"/>
        <w:gridCol w:w="851"/>
        <w:gridCol w:w="850"/>
        <w:gridCol w:w="851"/>
        <w:gridCol w:w="850"/>
        <w:gridCol w:w="851"/>
        <w:gridCol w:w="850"/>
        <w:gridCol w:w="851"/>
      </w:tblGrid>
      <w:tr w:rsidR="00A34DD5" w:rsidRPr="005F4AB5" w14:paraId="63AABA94" w14:textId="77777777" w:rsidTr="007534B3">
        <w:tc>
          <w:tcPr>
            <w:tcW w:w="851" w:type="dxa"/>
          </w:tcPr>
          <w:p w14:paraId="2AA397B1" w14:textId="79823216" w:rsidR="00520D2B" w:rsidRPr="005F4AB5" w:rsidRDefault="00520D2B" w:rsidP="00130AA3">
            <w:pPr>
              <w:rPr>
                <w:szCs w:val="24"/>
              </w:rPr>
            </w:pPr>
            <w:r w:rsidRPr="005F4AB5">
              <w:rPr>
                <w:szCs w:val="24"/>
              </w:rPr>
              <w:t>2015/</w:t>
            </w:r>
            <w:r w:rsidR="00737AFE" w:rsidRPr="005F4AB5">
              <w:rPr>
                <w:szCs w:val="24"/>
              </w:rPr>
              <w:t>20</w:t>
            </w:r>
            <w:r w:rsidRPr="005F4AB5">
              <w:rPr>
                <w:szCs w:val="24"/>
              </w:rPr>
              <w:t>16</w:t>
            </w:r>
          </w:p>
        </w:tc>
        <w:tc>
          <w:tcPr>
            <w:tcW w:w="992" w:type="dxa"/>
          </w:tcPr>
          <w:p w14:paraId="31091B4A" w14:textId="77777777" w:rsidR="00737AFE" w:rsidRPr="005F4AB5" w:rsidRDefault="00520D2B" w:rsidP="00130AA3">
            <w:pPr>
              <w:rPr>
                <w:szCs w:val="24"/>
              </w:rPr>
            </w:pPr>
            <w:r w:rsidRPr="005F4AB5">
              <w:rPr>
                <w:szCs w:val="24"/>
              </w:rPr>
              <w:t>2016/</w:t>
            </w:r>
          </w:p>
          <w:p w14:paraId="60FF3285" w14:textId="5CD821AA" w:rsidR="00520D2B" w:rsidRPr="005F4AB5" w:rsidRDefault="00737AFE" w:rsidP="00130AA3">
            <w:pPr>
              <w:rPr>
                <w:szCs w:val="24"/>
              </w:rPr>
            </w:pPr>
            <w:r w:rsidRPr="005F4AB5">
              <w:rPr>
                <w:szCs w:val="24"/>
              </w:rPr>
              <w:t>20</w:t>
            </w:r>
            <w:r w:rsidR="00520D2B" w:rsidRPr="005F4AB5">
              <w:rPr>
                <w:szCs w:val="24"/>
              </w:rPr>
              <w:t>17</w:t>
            </w:r>
          </w:p>
        </w:tc>
        <w:tc>
          <w:tcPr>
            <w:tcW w:w="992" w:type="dxa"/>
          </w:tcPr>
          <w:p w14:paraId="3FE09331" w14:textId="77777777" w:rsidR="00737AFE" w:rsidRPr="005F4AB5" w:rsidRDefault="00520D2B" w:rsidP="00130AA3">
            <w:pPr>
              <w:rPr>
                <w:szCs w:val="24"/>
              </w:rPr>
            </w:pPr>
            <w:r w:rsidRPr="005F4AB5">
              <w:rPr>
                <w:szCs w:val="24"/>
              </w:rPr>
              <w:t>2017/</w:t>
            </w:r>
          </w:p>
          <w:p w14:paraId="394214A0" w14:textId="0E6F956C" w:rsidR="00520D2B" w:rsidRPr="005F4AB5" w:rsidRDefault="00737AFE" w:rsidP="00130AA3">
            <w:pPr>
              <w:rPr>
                <w:szCs w:val="24"/>
              </w:rPr>
            </w:pPr>
            <w:r w:rsidRPr="005F4AB5">
              <w:rPr>
                <w:szCs w:val="24"/>
              </w:rPr>
              <w:t>2018</w:t>
            </w:r>
          </w:p>
        </w:tc>
        <w:tc>
          <w:tcPr>
            <w:tcW w:w="851" w:type="dxa"/>
          </w:tcPr>
          <w:p w14:paraId="371DFEB7" w14:textId="22A38E33" w:rsidR="00520D2B" w:rsidRPr="005F4AB5" w:rsidRDefault="00520D2B" w:rsidP="00130AA3">
            <w:pPr>
              <w:rPr>
                <w:szCs w:val="24"/>
              </w:rPr>
            </w:pPr>
            <w:r w:rsidRPr="005F4AB5">
              <w:rPr>
                <w:szCs w:val="24"/>
              </w:rPr>
              <w:t>2018/</w:t>
            </w:r>
            <w:r w:rsidR="00737AFE" w:rsidRPr="005F4AB5">
              <w:rPr>
                <w:szCs w:val="24"/>
              </w:rPr>
              <w:t>20</w:t>
            </w:r>
            <w:r w:rsidRPr="005F4AB5">
              <w:rPr>
                <w:szCs w:val="24"/>
              </w:rPr>
              <w:t>19</w:t>
            </w:r>
          </w:p>
        </w:tc>
        <w:tc>
          <w:tcPr>
            <w:tcW w:w="850" w:type="dxa"/>
          </w:tcPr>
          <w:p w14:paraId="14C17BFD" w14:textId="60087140" w:rsidR="00520D2B" w:rsidRPr="005F4AB5" w:rsidRDefault="00520D2B" w:rsidP="00130AA3">
            <w:pPr>
              <w:rPr>
                <w:szCs w:val="24"/>
              </w:rPr>
            </w:pPr>
            <w:r w:rsidRPr="005F4AB5">
              <w:rPr>
                <w:szCs w:val="24"/>
              </w:rPr>
              <w:t>2019/20</w:t>
            </w:r>
            <w:r w:rsidR="00737AFE" w:rsidRPr="005F4AB5">
              <w:rPr>
                <w:szCs w:val="24"/>
              </w:rPr>
              <w:t>20</w:t>
            </w:r>
          </w:p>
        </w:tc>
        <w:tc>
          <w:tcPr>
            <w:tcW w:w="851" w:type="dxa"/>
          </w:tcPr>
          <w:p w14:paraId="5DBE53A7" w14:textId="3AEAE8EC" w:rsidR="00520D2B" w:rsidRPr="005F4AB5" w:rsidRDefault="00520D2B" w:rsidP="00130AA3">
            <w:pPr>
              <w:rPr>
                <w:szCs w:val="24"/>
              </w:rPr>
            </w:pPr>
            <w:r w:rsidRPr="005F4AB5">
              <w:rPr>
                <w:szCs w:val="24"/>
              </w:rPr>
              <w:t>2020/</w:t>
            </w:r>
            <w:r w:rsidR="00737AFE" w:rsidRPr="005F4AB5">
              <w:rPr>
                <w:szCs w:val="24"/>
              </w:rPr>
              <w:t>20</w:t>
            </w:r>
            <w:r w:rsidRPr="005F4AB5">
              <w:rPr>
                <w:szCs w:val="24"/>
              </w:rPr>
              <w:t>21</w:t>
            </w:r>
          </w:p>
        </w:tc>
        <w:tc>
          <w:tcPr>
            <w:tcW w:w="850" w:type="dxa"/>
          </w:tcPr>
          <w:p w14:paraId="699C1717" w14:textId="6897DDF5" w:rsidR="00520D2B" w:rsidRPr="005F4AB5" w:rsidRDefault="00520D2B" w:rsidP="00130AA3">
            <w:pPr>
              <w:rPr>
                <w:szCs w:val="24"/>
              </w:rPr>
            </w:pPr>
            <w:r w:rsidRPr="005F4AB5">
              <w:rPr>
                <w:szCs w:val="24"/>
              </w:rPr>
              <w:t>2021/</w:t>
            </w:r>
            <w:r w:rsidR="00737AFE" w:rsidRPr="005F4AB5">
              <w:rPr>
                <w:szCs w:val="24"/>
              </w:rPr>
              <w:t>20</w:t>
            </w:r>
            <w:r w:rsidRPr="005F4AB5">
              <w:rPr>
                <w:szCs w:val="24"/>
              </w:rPr>
              <w:t>22</w:t>
            </w:r>
          </w:p>
        </w:tc>
        <w:tc>
          <w:tcPr>
            <w:tcW w:w="851" w:type="dxa"/>
          </w:tcPr>
          <w:p w14:paraId="242EBD00" w14:textId="78B77C58" w:rsidR="00520D2B" w:rsidRPr="005F4AB5" w:rsidRDefault="00520D2B" w:rsidP="00130AA3">
            <w:pPr>
              <w:rPr>
                <w:szCs w:val="24"/>
              </w:rPr>
            </w:pPr>
            <w:r w:rsidRPr="005F4AB5">
              <w:rPr>
                <w:szCs w:val="24"/>
              </w:rPr>
              <w:t>2022/</w:t>
            </w:r>
            <w:r w:rsidR="00737AFE" w:rsidRPr="005F4AB5">
              <w:rPr>
                <w:szCs w:val="24"/>
              </w:rPr>
              <w:t>20</w:t>
            </w:r>
            <w:r w:rsidRPr="005F4AB5">
              <w:rPr>
                <w:szCs w:val="24"/>
              </w:rPr>
              <w:t>23</w:t>
            </w:r>
          </w:p>
        </w:tc>
        <w:tc>
          <w:tcPr>
            <w:tcW w:w="850" w:type="dxa"/>
          </w:tcPr>
          <w:p w14:paraId="30157534" w14:textId="17818AAF" w:rsidR="00520D2B" w:rsidRPr="005F4AB5" w:rsidRDefault="00520D2B" w:rsidP="00130AA3">
            <w:pPr>
              <w:rPr>
                <w:szCs w:val="24"/>
              </w:rPr>
            </w:pPr>
            <w:r w:rsidRPr="005F4AB5">
              <w:rPr>
                <w:szCs w:val="24"/>
              </w:rPr>
              <w:t>2023/</w:t>
            </w:r>
            <w:r w:rsidR="00737AFE" w:rsidRPr="005F4AB5">
              <w:rPr>
                <w:szCs w:val="24"/>
              </w:rPr>
              <w:t>20</w:t>
            </w:r>
            <w:r w:rsidRPr="005F4AB5">
              <w:rPr>
                <w:szCs w:val="24"/>
              </w:rPr>
              <w:t>24</w:t>
            </w:r>
          </w:p>
        </w:tc>
        <w:tc>
          <w:tcPr>
            <w:tcW w:w="851" w:type="dxa"/>
          </w:tcPr>
          <w:p w14:paraId="423E1B51" w14:textId="50427180" w:rsidR="00520D2B" w:rsidRPr="005F4AB5" w:rsidRDefault="00520D2B" w:rsidP="00130AA3">
            <w:pPr>
              <w:rPr>
                <w:szCs w:val="24"/>
              </w:rPr>
            </w:pPr>
            <w:r w:rsidRPr="005F4AB5">
              <w:rPr>
                <w:szCs w:val="24"/>
              </w:rPr>
              <w:t>2024/</w:t>
            </w:r>
            <w:r w:rsidR="00737AFE" w:rsidRPr="005F4AB5">
              <w:rPr>
                <w:szCs w:val="24"/>
              </w:rPr>
              <w:t>20</w:t>
            </w:r>
            <w:r w:rsidRPr="005F4AB5">
              <w:rPr>
                <w:szCs w:val="24"/>
              </w:rPr>
              <w:t>25</w:t>
            </w:r>
          </w:p>
        </w:tc>
      </w:tr>
      <w:tr w:rsidR="00737AFE" w:rsidRPr="005F4AB5" w14:paraId="5F7C2EE3" w14:textId="77777777" w:rsidTr="007534B3">
        <w:tc>
          <w:tcPr>
            <w:tcW w:w="851" w:type="dxa"/>
          </w:tcPr>
          <w:p w14:paraId="111DB5BF" w14:textId="77777777" w:rsidR="00520D2B" w:rsidRPr="005F4AB5" w:rsidRDefault="00520D2B" w:rsidP="00130AA3">
            <w:pPr>
              <w:rPr>
                <w:szCs w:val="24"/>
              </w:rPr>
            </w:pPr>
            <w:r w:rsidRPr="005F4AB5">
              <w:rPr>
                <w:szCs w:val="24"/>
              </w:rPr>
              <w:t>39</w:t>
            </w:r>
          </w:p>
        </w:tc>
        <w:tc>
          <w:tcPr>
            <w:tcW w:w="992" w:type="dxa"/>
          </w:tcPr>
          <w:p w14:paraId="3BD21A28" w14:textId="77777777" w:rsidR="00520D2B" w:rsidRPr="005F4AB5" w:rsidRDefault="00520D2B" w:rsidP="00130AA3">
            <w:pPr>
              <w:rPr>
                <w:szCs w:val="24"/>
              </w:rPr>
            </w:pPr>
            <w:r w:rsidRPr="005F4AB5">
              <w:rPr>
                <w:szCs w:val="24"/>
              </w:rPr>
              <w:t>77</w:t>
            </w:r>
          </w:p>
        </w:tc>
        <w:tc>
          <w:tcPr>
            <w:tcW w:w="992" w:type="dxa"/>
          </w:tcPr>
          <w:p w14:paraId="06424C19" w14:textId="77777777" w:rsidR="00520D2B" w:rsidRPr="005F4AB5" w:rsidRDefault="00520D2B" w:rsidP="00130AA3">
            <w:pPr>
              <w:rPr>
                <w:szCs w:val="24"/>
              </w:rPr>
            </w:pPr>
            <w:r w:rsidRPr="005F4AB5">
              <w:rPr>
                <w:szCs w:val="24"/>
              </w:rPr>
              <w:t>55</w:t>
            </w:r>
          </w:p>
        </w:tc>
        <w:tc>
          <w:tcPr>
            <w:tcW w:w="851" w:type="dxa"/>
          </w:tcPr>
          <w:p w14:paraId="386E0D36" w14:textId="77777777" w:rsidR="00520D2B" w:rsidRPr="005F4AB5" w:rsidRDefault="00520D2B" w:rsidP="00130AA3">
            <w:pPr>
              <w:rPr>
                <w:szCs w:val="24"/>
              </w:rPr>
            </w:pPr>
            <w:r w:rsidRPr="005F4AB5">
              <w:rPr>
                <w:szCs w:val="24"/>
              </w:rPr>
              <w:t>36</w:t>
            </w:r>
          </w:p>
        </w:tc>
        <w:tc>
          <w:tcPr>
            <w:tcW w:w="850" w:type="dxa"/>
          </w:tcPr>
          <w:p w14:paraId="70FD97F2" w14:textId="77777777" w:rsidR="00520D2B" w:rsidRPr="005F4AB5" w:rsidRDefault="00520D2B" w:rsidP="00130AA3">
            <w:pPr>
              <w:rPr>
                <w:szCs w:val="24"/>
              </w:rPr>
            </w:pPr>
            <w:r w:rsidRPr="005F4AB5">
              <w:rPr>
                <w:szCs w:val="24"/>
              </w:rPr>
              <w:t>43</w:t>
            </w:r>
          </w:p>
        </w:tc>
        <w:tc>
          <w:tcPr>
            <w:tcW w:w="851" w:type="dxa"/>
          </w:tcPr>
          <w:p w14:paraId="4BBB1C1E" w14:textId="77777777" w:rsidR="00520D2B" w:rsidRPr="005F4AB5" w:rsidRDefault="00520D2B" w:rsidP="00130AA3">
            <w:pPr>
              <w:rPr>
                <w:szCs w:val="24"/>
              </w:rPr>
            </w:pPr>
            <w:r w:rsidRPr="005F4AB5">
              <w:rPr>
                <w:szCs w:val="24"/>
              </w:rPr>
              <w:t>29</w:t>
            </w:r>
          </w:p>
        </w:tc>
        <w:tc>
          <w:tcPr>
            <w:tcW w:w="850" w:type="dxa"/>
          </w:tcPr>
          <w:p w14:paraId="643298D1" w14:textId="77777777" w:rsidR="00520D2B" w:rsidRPr="005F4AB5" w:rsidRDefault="00520D2B" w:rsidP="00130AA3">
            <w:pPr>
              <w:rPr>
                <w:szCs w:val="24"/>
              </w:rPr>
            </w:pPr>
            <w:r w:rsidRPr="005F4AB5">
              <w:rPr>
                <w:szCs w:val="24"/>
              </w:rPr>
              <w:t>39</w:t>
            </w:r>
          </w:p>
        </w:tc>
        <w:tc>
          <w:tcPr>
            <w:tcW w:w="851" w:type="dxa"/>
          </w:tcPr>
          <w:p w14:paraId="041D75AD" w14:textId="77777777" w:rsidR="00520D2B" w:rsidRPr="005F4AB5" w:rsidRDefault="00520D2B" w:rsidP="00130AA3">
            <w:pPr>
              <w:rPr>
                <w:szCs w:val="24"/>
              </w:rPr>
            </w:pPr>
            <w:r w:rsidRPr="005F4AB5">
              <w:rPr>
                <w:szCs w:val="24"/>
              </w:rPr>
              <w:t>37</w:t>
            </w:r>
          </w:p>
        </w:tc>
        <w:tc>
          <w:tcPr>
            <w:tcW w:w="850" w:type="dxa"/>
          </w:tcPr>
          <w:p w14:paraId="793828F7" w14:textId="77777777" w:rsidR="00520D2B" w:rsidRPr="005F4AB5" w:rsidRDefault="00520D2B" w:rsidP="00130AA3">
            <w:pPr>
              <w:rPr>
                <w:szCs w:val="24"/>
              </w:rPr>
            </w:pPr>
            <w:r w:rsidRPr="005F4AB5">
              <w:rPr>
                <w:szCs w:val="24"/>
              </w:rPr>
              <w:t>20</w:t>
            </w:r>
          </w:p>
        </w:tc>
        <w:tc>
          <w:tcPr>
            <w:tcW w:w="851" w:type="dxa"/>
          </w:tcPr>
          <w:p w14:paraId="7A8871A1" w14:textId="77777777" w:rsidR="00520D2B" w:rsidRPr="005F4AB5" w:rsidRDefault="00520D2B" w:rsidP="00130AA3">
            <w:pPr>
              <w:rPr>
                <w:szCs w:val="24"/>
              </w:rPr>
            </w:pPr>
            <w:r w:rsidRPr="005F4AB5">
              <w:rPr>
                <w:szCs w:val="24"/>
              </w:rPr>
              <w:t>47</w:t>
            </w:r>
          </w:p>
        </w:tc>
      </w:tr>
    </w:tbl>
    <w:p w14:paraId="3AFF9835" w14:textId="2C6AB903" w:rsidR="00F36CC2" w:rsidRPr="005F4AB5" w:rsidRDefault="00F36CC2" w:rsidP="000D58DB">
      <w:pPr>
        <w:rPr>
          <w:szCs w:val="24"/>
        </w:rPr>
      </w:pPr>
    </w:p>
    <w:p w14:paraId="15487CD6" w14:textId="53161A1A" w:rsidR="00F36CC2" w:rsidRPr="005F4AB5" w:rsidRDefault="00F36CC2" w:rsidP="000D58DB">
      <w:pPr>
        <w:rPr>
          <w:szCs w:val="24"/>
        </w:rPr>
      </w:pPr>
    </w:p>
    <w:p w14:paraId="29D0C78F" w14:textId="0BE3B072" w:rsidR="00994796" w:rsidRPr="005F4AB5" w:rsidRDefault="00994796" w:rsidP="000D58DB">
      <w:pPr>
        <w:pStyle w:val="Heading3"/>
      </w:pPr>
      <w:bookmarkStart w:id="58" w:name="_Toc210303301"/>
      <w:bookmarkStart w:id="59" w:name="_Toc210308092"/>
      <w:r w:rsidRPr="005F4AB5">
        <w:t xml:space="preserve">F – </w:t>
      </w:r>
      <w:r w:rsidR="00331D8B" w:rsidRPr="005F4AB5">
        <w:t xml:space="preserve">Gloucester City </w:t>
      </w:r>
      <w:r w:rsidR="00DD0B47" w:rsidRPr="005F4AB5">
        <w:t xml:space="preserve">Plan </w:t>
      </w:r>
      <w:r w:rsidRPr="005F4AB5">
        <w:t>Allocations</w:t>
      </w:r>
      <w:bookmarkEnd w:id="58"/>
      <w:bookmarkEnd w:id="59"/>
    </w:p>
    <w:p w14:paraId="398C5B7E" w14:textId="5BCE6694" w:rsidR="0020780A" w:rsidRPr="005F4AB5" w:rsidRDefault="00994796" w:rsidP="000D58DB">
      <w:pPr>
        <w:pStyle w:val="ListParagraph"/>
        <w:widowControl/>
        <w:numPr>
          <w:ilvl w:val="1"/>
          <w:numId w:val="7"/>
        </w:numPr>
        <w:autoSpaceDE/>
        <w:autoSpaceDN/>
        <w:spacing w:line="276" w:lineRule="auto"/>
        <w:ind w:hanging="720"/>
        <w:jc w:val="left"/>
        <w:rPr>
          <w:rFonts w:asciiTheme="minorHAnsi" w:hAnsiTheme="minorHAnsi" w:cstheme="minorHAnsi"/>
          <w:szCs w:val="24"/>
        </w:rPr>
      </w:pPr>
      <w:r w:rsidRPr="005F4AB5">
        <w:rPr>
          <w:rFonts w:asciiTheme="minorHAnsi" w:hAnsiTheme="minorHAnsi" w:cstheme="minorHAnsi"/>
          <w:szCs w:val="24"/>
        </w:rPr>
        <w:t xml:space="preserve">Sites that have been allocated in the adopted </w:t>
      </w:r>
      <w:r w:rsidR="00737AFE" w:rsidRPr="005F4AB5">
        <w:rPr>
          <w:rFonts w:asciiTheme="minorHAnsi" w:hAnsiTheme="minorHAnsi" w:cstheme="minorHAnsi"/>
          <w:szCs w:val="24"/>
        </w:rPr>
        <w:t xml:space="preserve">Gloucester City </w:t>
      </w:r>
      <w:r w:rsidRPr="005F4AB5">
        <w:rPr>
          <w:rFonts w:asciiTheme="minorHAnsi" w:hAnsiTheme="minorHAnsi" w:cstheme="minorHAnsi"/>
          <w:szCs w:val="24"/>
        </w:rPr>
        <w:t xml:space="preserve">Plan that do not otherwise have planning permission. </w:t>
      </w:r>
    </w:p>
    <w:p w14:paraId="47A57137" w14:textId="77777777" w:rsidR="00994796" w:rsidRPr="005F4AB5" w:rsidRDefault="00994796" w:rsidP="000D58DB">
      <w:pPr>
        <w:widowControl/>
        <w:autoSpaceDE/>
        <w:autoSpaceDN/>
        <w:spacing w:line="276" w:lineRule="auto"/>
        <w:rPr>
          <w:rFonts w:asciiTheme="minorHAnsi" w:hAnsiTheme="minorHAnsi" w:cstheme="minorHAnsi"/>
          <w:szCs w:val="24"/>
        </w:rPr>
      </w:pPr>
    </w:p>
    <w:p w14:paraId="4FD54532" w14:textId="0F1CF0D5" w:rsidR="00994796" w:rsidRPr="005F4AB5" w:rsidRDefault="00994796" w:rsidP="000D58DB">
      <w:pPr>
        <w:pStyle w:val="Heading3"/>
      </w:pPr>
      <w:bookmarkStart w:id="60" w:name="_Toc210303302"/>
      <w:bookmarkStart w:id="61" w:name="_Toc210308093"/>
      <w:r w:rsidRPr="005F4AB5">
        <w:t xml:space="preserve">G – JCS Allocations </w:t>
      </w:r>
      <w:r w:rsidR="001F1F58" w:rsidRPr="005F4AB5">
        <w:t>(</w:t>
      </w:r>
      <w:r w:rsidR="00331D8B" w:rsidRPr="005F4AB5">
        <w:t>Innsworth, Twigworth, South Churchdown and North Brockworth)</w:t>
      </w:r>
      <w:bookmarkEnd w:id="60"/>
      <w:bookmarkEnd w:id="61"/>
      <w:r w:rsidR="001F1F58" w:rsidRPr="005F4AB5">
        <w:t xml:space="preserve"> </w:t>
      </w:r>
    </w:p>
    <w:p w14:paraId="6C83B94F" w14:textId="57F1A6E4" w:rsidR="00A36BC6" w:rsidRPr="005F4AB5" w:rsidRDefault="00331D8B" w:rsidP="000A0364">
      <w:pPr>
        <w:pStyle w:val="ListParagraph"/>
        <w:widowControl/>
        <w:numPr>
          <w:ilvl w:val="1"/>
          <w:numId w:val="7"/>
        </w:numPr>
        <w:autoSpaceDE/>
        <w:autoSpaceDN/>
        <w:spacing w:line="276" w:lineRule="auto"/>
        <w:ind w:hanging="720"/>
        <w:jc w:val="left"/>
        <w:rPr>
          <w:szCs w:val="24"/>
        </w:rPr>
      </w:pPr>
      <w:r w:rsidRPr="005F4AB5">
        <w:rPr>
          <w:rFonts w:asciiTheme="minorHAnsi" w:hAnsiTheme="minorHAnsi" w:cstheme="minorHAnsi"/>
          <w:szCs w:val="24"/>
        </w:rPr>
        <w:t>A</w:t>
      </w:r>
      <w:r w:rsidR="00994796" w:rsidRPr="005F4AB5">
        <w:rPr>
          <w:rFonts w:asciiTheme="minorHAnsi" w:hAnsiTheme="minorHAnsi" w:cstheme="minorHAnsi"/>
          <w:szCs w:val="24"/>
        </w:rPr>
        <w:t xml:space="preserve">llocated </w:t>
      </w:r>
      <w:r w:rsidR="00737AFE" w:rsidRPr="005F4AB5">
        <w:rPr>
          <w:rFonts w:asciiTheme="minorHAnsi" w:hAnsiTheme="minorHAnsi" w:cstheme="minorHAnsi"/>
          <w:szCs w:val="24"/>
        </w:rPr>
        <w:t xml:space="preserve">and permitted </w:t>
      </w:r>
      <w:r w:rsidRPr="005F4AB5">
        <w:rPr>
          <w:rFonts w:asciiTheme="minorHAnsi" w:hAnsiTheme="minorHAnsi" w:cstheme="minorHAnsi"/>
          <w:szCs w:val="24"/>
        </w:rPr>
        <w:t xml:space="preserve">sites </w:t>
      </w:r>
      <w:r w:rsidR="00994796" w:rsidRPr="005F4AB5">
        <w:rPr>
          <w:rFonts w:asciiTheme="minorHAnsi" w:hAnsiTheme="minorHAnsi" w:cstheme="minorHAnsi"/>
          <w:szCs w:val="24"/>
        </w:rPr>
        <w:t xml:space="preserve">in the adopted JCS </w:t>
      </w:r>
      <w:r w:rsidRPr="005F4AB5">
        <w:rPr>
          <w:rFonts w:asciiTheme="minorHAnsi" w:hAnsiTheme="minorHAnsi" w:cstheme="minorHAnsi"/>
          <w:szCs w:val="24"/>
        </w:rPr>
        <w:t>meeting Gloucester’s need</w:t>
      </w:r>
      <w:r w:rsidR="00737AFE" w:rsidRPr="005F4AB5">
        <w:rPr>
          <w:rFonts w:asciiTheme="minorHAnsi" w:hAnsiTheme="minorHAnsi" w:cstheme="minorHAnsi"/>
          <w:szCs w:val="24"/>
        </w:rPr>
        <w:t xml:space="preserve">. </w:t>
      </w:r>
      <w:r w:rsidR="00994796" w:rsidRPr="005F4AB5">
        <w:rPr>
          <w:rFonts w:asciiTheme="minorHAnsi" w:hAnsiTheme="minorHAnsi" w:cstheme="minorHAnsi"/>
          <w:szCs w:val="24"/>
        </w:rPr>
        <w:t xml:space="preserve"> </w:t>
      </w:r>
      <w:bookmarkStart w:id="62" w:name="_Ref119497399"/>
    </w:p>
    <w:p w14:paraId="1AA167CB" w14:textId="77777777" w:rsidR="00407E79" w:rsidRPr="005F4AB5" w:rsidRDefault="00407E79" w:rsidP="000D58DB">
      <w:pPr>
        <w:rPr>
          <w:szCs w:val="24"/>
        </w:rPr>
      </w:pPr>
    </w:p>
    <w:p w14:paraId="2010715E" w14:textId="74DB1D08" w:rsidR="00994796" w:rsidRPr="005F4AB5" w:rsidRDefault="00994796" w:rsidP="000D58DB">
      <w:pPr>
        <w:pStyle w:val="Heading3"/>
      </w:pPr>
      <w:bookmarkStart w:id="63" w:name="_Toc210303303"/>
      <w:bookmarkStart w:id="64" w:name="_Toc210308094"/>
      <w:r w:rsidRPr="005F4AB5">
        <w:t>Summary of Categories</w:t>
      </w:r>
      <w:bookmarkEnd w:id="63"/>
      <w:bookmarkEnd w:id="64"/>
      <w:r w:rsidRPr="005F4AB5">
        <w:t xml:space="preserve"> </w:t>
      </w:r>
    </w:p>
    <w:p w14:paraId="24A57C5E" w14:textId="497CA769" w:rsidR="005D1515" w:rsidRPr="005F4AB5" w:rsidRDefault="00E04472" w:rsidP="000D58DB">
      <w:pPr>
        <w:pStyle w:val="ListParagraph"/>
        <w:widowControl/>
        <w:numPr>
          <w:ilvl w:val="1"/>
          <w:numId w:val="7"/>
        </w:numPr>
        <w:autoSpaceDE/>
        <w:autoSpaceDN/>
        <w:spacing w:line="276" w:lineRule="auto"/>
        <w:ind w:hanging="720"/>
        <w:jc w:val="left"/>
        <w:rPr>
          <w:szCs w:val="24"/>
        </w:rPr>
      </w:pPr>
      <w:r w:rsidRPr="005F4AB5">
        <w:rPr>
          <w:b/>
          <w:bCs/>
          <w:szCs w:val="24"/>
        </w:rPr>
        <w:fldChar w:fldCharType="begin"/>
      </w:r>
      <w:r w:rsidRPr="005F4AB5">
        <w:rPr>
          <w:b/>
          <w:bCs/>
          <w:szCs w:val="24"/>
        </w:rPr>
        <w:instrText xml:space="preserve"> REF _Ref173219554 \h  \* MERGEFORMAT </w:instrText>
      </w:r>
      <w:r w:rsidRPr="005F4AB5">
        <w:rPr>
          <w:b/>
          <w:bCs/>
          <w:szCs w:val="24"/>
        </w:rPr>
      </w:r>
      <w:r w:rsidRPr="005F4AB5">
        <w:rPr>
          <w:b/>
          <w:bCs/>
          <w:szCs w:val="24"/>
        </w:rPr>
        <w:fldChar w:fldCharType="separate"/>
      </w:r>
      <w:r w:rsidR="00033F80" w:rsidRPr="005F4AB5">
        <w:rPr>
          <w:b/>
          <w:bCs/>
          <w:szCs w:val="24"/>
        </w:rPr>
        <w:t xml:space="preserve">Figure </w:t>
      </w:r>
      <w:r w:rsidR="00033F80" w:rsidRPr="00033F80">
        <w:rPr>
          <w:b/>
          <w:bCs/>
          <w:noProof/>
          <w:szCs w:val="24"/>
        </w:rPr>
        <w:t>4</w:t>
      </w:r>
      <w:r w:rsidRPr="005F4AB5">
        <w:rPr>
          <w:b/>
          <w:bCs/>
          <w:szCs w:val="24"/>
        </w:rPr>
        <w:fldChar w:fldCharType="end"/>
      </w:r>
      <w:r w:rsidRPr="005F4AB5">
        <w:rPr>
          <w:szCs w:val="24"/>
        </w:rPr>
        <w:t xml:space="preserve"> </w:t>
      </w:r>
      <w:r w:rsidR="005D1515" w:rsidRPr="005F4AB5">
        <w:rPr>
          <w:szCs w:val="24"/>
        </w:rPr>
        <w:t xml:space="preserve">sets out how each of the categories above align with the NPPF definition of </w:t>
      </w:r>
      <w:r w:rsidR="00DB432C" w:rsidRPr="005F4AB5">
        <w:rPr>
          <w:szCs w:val="24"/>
        </w:rPr>
        <w:t xml:space="preserve">a </w:t>
      </w:r>
      <w:r w:rsidR="005D1515" w:rsidRPr="005F4AB5">
        <w:rPr>
          <w:szCs w:val="24"/>
        </w:rPr>
        <w:t xml:space="preserve">deliverable </w:t>
      </w:r>
      <w:r w:rsidR="00DB432C" w:rsidRPr="005F4AB5">
        <w:rPr>
          <w:szCs w:val="24"/>
        </w:rPr>
        <w:t>site</w:t>
      </w:r>
      <w:r w:rsidR="005D1515" w:rsidRPr="005F4AB5">
        <w:rPr>
          <w:szCs w:val="24"/>
        </w:rPr>
        <w:t xml:space="preserve">. </w:t>
      </w:r>
    </w:p>
    <w:p w14:paraId="4E399271" w14:textId="77777777" w:rsidR="005D1515" w:rsidRPr="005F4AB5" w:rsidRDefault="005D1515" w:rsidP="000D58DB">
      <w:pPr>
        <w:pStyle w:val="ListParagraph"/>
        <w:widowControl/>
        <w:autoSpaceDE/>
        <w:autoSpaceDN/>
        <w:spacing w:line="276" w:lineRule="auto"/>
        <w:ind w:left="720" w:firstLine="0"/>
        <w:jc w:val="left"/>
        <w:rPr>
          <w:color w:val="000000" w:themeColor="text1"/>
          <w:szCs w:val="24"/>
        </w:rPr>
      </w:pPr>
    </w:p>
    <w:p w14:paraId="1894C540" w14:textId="1E7B1F69" w:rsidR="005D1515" w:rsidRPr="005F4AB5" w:rsidRDefault="005D1515" w:rsidP="000D58DB">
      <w:pPr>
        <w:pStyle w:val="Caption"/>
        <w:ind w:left="720"/>
        <w:rPr>
          <w:rFonts w:ascii="Calibri" w:hAnsi="Calibri" w:cs="Calibri"/>
          <w:b/>
          <w:bCs/>
          <w:i w:val="0"/>
          <w:color w:val="auto"/>
          <w:sz w:val="24"/>
          <w:szCs w:val="24"/>
        </w:rPr>
      </w:pPr>
      <w:bookmarkStart w:id="65" w:name="_Ref173219554"/>
      <w:bookmarkStart w:id="66" w:name="_Toc208233934"/>
      <w:bookmarkStart w:id="67" w:name="_Hlk173227085"/>
      <w:r w:rsidRPr="005F4AB5">
        <w:rPr>
          <w:rFonts w:ascii="Calibri" w:hAnsi="Calibri" w:cs="Calibri"/>
          <w:b/>
          <w:bCs/>
          <w:i w:val="0"/>
          <w:color w:val="auto"/>
          <w:sz w:val="24"/>
          <w:szCs w:val="24"/>
        </w:rPr>
        <w:lastRenderedPageBreak/>
        <w:t xml:space="preserve">Figure </w:t>
      </w:r>
      <w:r w:rsidRPr="005F4AB5">
        <w:rPr>
          <w:rFonts w:ascii="Calibri" w:hAnsi="Calibri" w:cs="Calibri"/>
          <w:b/>
          <w:bCs/>
          <w:i w:val="0"/>
          <w:color w:val="auto"/>
          <w:sz w:val="24"/>
          <w:szCs w:val="24"/>
        </w:rPr>
        <w:fldChar w:fldCharType="begin"/>
      </w:r>
      <w:r w:rsidRPr="005F4AB5">
        <w:rPr>
          <w:rFonts w:ascii="Calibri" w:hAnsi="Calibri" w:cs="Calibri"/>
          <w:b/>
          <w:bCs/>
          <w:i w:val="0"/>
          <w:color w:val="auto"/>
          <w:sz w:val="24"/>
          <w:szCs w:val="24"/>
        </w:rPr>
        <w:instrText xml:space="preserve"> SEQ Figure \* ARABIC </w:instrText>
      </w:r>
      <w:r w:rsidRPr="005F4AB5">
        <w:rPr>
          <w:rFonts w:ascii="Calibri" w:hAnsi="Calibri" w:cs="Calibri"/>
          <w:b/>
          <w:bCs/>
          <w:i w:val="0"/>
          <w:color w:val="auto"/>
          <w:sz w:val="24"/>
          <w:szCs w:val="24"/>
        </w:rPr>
        <w:fldChar w:fldCharType="separate"/>
      </w:r>
      <w:r w:rsidR="00033F80">
        <w:rPr>
          <w:rFonts w:ascii="Calibri" w:hAnsi="Calibri" w:cs="Calibri"/>
          <w:b/>
          <w:bCs/>
          <w:i w:val="0"/>
          <w:noProof/>
          <w:color w:val="auto"/>
          <w:sz w:val="24"/>
          <w:szCs w:val="24"/>
        </w:rPr>
        <w:t>4</w:t>
      </w:r>
      <w:r w:rsidRPr="005F4AB5">
        <w:rPr>
          <w:rFonts w:ascii="Calibri" w:hAnsi="Calibri" w:cs="Calibri"/>
          <w:b/>
          <w:bCs/>
          <w:i w:val="0"/>
          <w:color w:val="auto"/>
          <w:sz w:val="24"/>
          <w:szCs w:val="24"/>
        </w:rPr>
        <w:fldChar w:fldCharType="end"/>
      </w:r>
      <w:bookmarkEnd w:id="65"/>
      <w:r w:rsidRPr="005F4AB5">
        <w:rPr>
          <w:rFonts w:ascii="Calibri" w:hAnsi="Calibri" w:cs="Calibri"/>
          <w:b/>
          <w:bCs/>
          <w:i w:val="0"/>
          <w:color w:val="auto"/>
          <w:sz w:val="24"/>
          <w:szCs w:val="24"/>
        </w:rPr>
        <w:t>: Sources of Housing Land Supply against the NPPF definition</w:t>
      </w:r>
      <w:r w:rsidR="00DB432C" w:rsidRPr="005F4AB5">
        <w:rPr>
          <w:rFonts w:ascii="Calibri" w:hAnsi="Calibri" w:cs="Calibri"/>
          <w:b/>
          <w:bCs/>
          <w:i w:val="0"/>
          <w:color w:val="auto"/>
          <w:sz w:val="24"/>
          <w:szCs w:val="24"/>
        </w:rPr>
        <w:t xml:space="preserve"> </w:t>
      </w:r>
      <w:r w:rsidRPr="005F4AB5">
        <w:rPr>
          <w:rFonts w:ascii="Calibri" w:hAnsi="Calibri" w:cs="Calibri"/>
          <w:b/>
          <w:bCs/>
          <w:i w:val="0"/>
          <w:color w:val="auto"/>
          <w:sz w:val="24"/>
          <w:szCs w:val="24"/>
        </w:rPr>
        <w:t>of ‘deliverable’</w:t>
      </w:r>
      <w:bookmarkEnd w:id="66"/>
      <w:r w:rsidRPr="005F4AB5">
        <w:rPr>
          <w:rFonts w:ascii="Calibri" w:hAnsi="Calibri" w:cs="Calibri"/>
          <w:b/>
          <w:bCs/>
          <w:i w:val="0"/>
          <w:color w:val="auto"/>
          <w:sz w:val="24"/>
          <w:szCs w:val="24"/>
        </w:rPr>
        <w:t xml:space="preserve"> </w:t>
      </w:r>
      <w:bookmarkEnd w:id="67"/>
    </w:p>
    <w:tbl>
      <w:tblPr>
        <w:tblStyle w:val="TableGrid"/>
        <w:tblW w:w="0" w:type="auto"/>
        <w:tblInd w:w="704" w:type="dxa"/>
        <w:tblLook w:val="04A0" w:firstRow="1" w:lastRow="0" w:firstColumn="1" w:lastColumn="0" w:noHBand="0" w:noVBand="1"/>
      </w:tblPr>
      <w:tblGrid>
        <w:gridCol w:w="7229"/>
        <w:gridCol w:w="1727"/>
      </w:tblGrid>
      <w:tr w:rsidR="00A34DD5" w:rsidRPr="005F4AB5" w14:paraId="1E17F10B" w14:textId="77777777" w:rsidTr="00791BB0">
        <w:trPr>
          <w:cantSplit/>
          <w:trHeight w:val="664"/>
          <w:tblHeader/>
        </w:trPr>
        <w:tc>
          <w:tcPr>
            <w:tcW w:w="7229" w:type="dxa"/>
          </w:tcPr>
          <w:p w14:paraId="6628FE32" w14:textId="77777777" w:rsidR="005D1515" w:rsidRPr="005F4AB5" w:rsidRDefault="005D1515" w:rsidP="000D58DB">
            <w:pPr>
              <w:rPr>
                <w:b/>
                <w:lang w:val="en-GB"/>
              </w:rPr>
            </w:pPr>
            <w:r w:rsidRPr="005F4AB5">
              <w:rPr>
                <w:b/>
                <w:lang w:val="en-GB"/>
              </w:rPr>
              <w:t xml:space="preserve">NPPF definition category </w:t>
            </w:r>
          </w:p>
          <w:p w14:paraId="183AB93E" w14:textId="0E22BFE9" w:rsidR="00994796" w:rsidRPr="005F4AB5" w:rsidRDefault="00994796" w:rsidP="000D58DB">
            <w:pPr>
              <w:rPr>
                <w:b/>
                <w:lang w:val="en-GB"/>
              </w:rPr>
            </w:pPr>
          </w:p>
        </w:tc>
        <w:tc>
          <w:tcPr>
            <w:tcW w:w="1727" w:type="dxa"/>
          </w:tcPr>
          <w:p w14:paraId="1FE1376C" w14:textId="30B72928" w:rsidR="005D1515" w:rsidRPr="005F4AB5" w:rsidRDefault="0028318A" w:rsidP="000D58DB">
            <w:pPr>
              <w:rPr>
                <w:b/>
                <w:lang w:val="en-GB"/>
              </w:rPr>
            </w:pPr>
            <w:r w:rsidRPr="005F4AB5">
              <w:rPr>
                <w:b/>
                <w:lang w:val="en-GB"/>
              </w:rPr>
              <w:t xml:space="preserve">GCC </w:t>
            </w:r>
            <w:r w:rsidR="00994796" w:rsidRPr="005F4AB5">
              <w:rPr>
                <w:b/>
                <w:lang w:val="en-GB"/>
              </w:rPr>
              <w:t xml:space="preserve">Housing Land Supply Source Category </w:t>
            </w:r>
          </w:p>
        </w:tc>
      </w:tr>
      <w:tr w:rsidR="00A34DD5" w:rsidRPr="005F4AB5" w14:paraId="29C59478" w14:textId="77777777" w:rsidTr="00791BB0">
        <w:trPr>
          <w:cantSplit/>
          <w:trHeight w:val="2070"/>
        </w:trPr>
        <w:tc>
          <w:tcPr>
            <w:tcW w:w="7229" w:type="dxa"/>
          </w:tcPr>
          <w:p w14:paraId="1786FF6D" w14:textId="2C731680" w:rsidR="005D1515" w:rsidRPr="005F4AB5" w:rsidRDefault="005D1515" w:rsidP="000D58DB">
            <w:pPr>
              <w:widowControl/>
              <w:autoSpaceDE/>
              <w:autoSpaceDN/>
              <w:spacing w:after="120" w:line="276" w:lineRule="auto"/>
              <w:ind w:left="31"/>
              <w:rPr>
                <w:lang w:val="en-GB"/>
              </w:rPr>
            </w:pPr>
            <w:r w:rsidRPr="005F4AB5">
              <w:rPr>
                <w:i/>
                <w:szCs w:val="24"/>
              </w:rPr>
              <w:t xml:space="preserve">“Sites which do not involve major development and have planning permission, and all sites with detailed planning permission, should be considered deliverable until permission expires, unless there is clear evidence that homes will not be delivered within five years (for example because they are no longer viable, there is no longer a demand for the type of units or sites have long term phasing plans)”. </w:t>
            </w:r>
          </w:p>
        </w:tc>
        <w:tc>
          <w:tcPr>
            <w:tcW w:w="1727" w:type="dxa"/>
          </w:tcPr>
          <w:p w14:paraId="3101B691" w14:textId="5F889FB2" w:rsidR="005D1515" w:rsidRPr="005F4AB5" w:rsidRDefault="00994796" w:rsidP="000D58DB">
            <w:pPr>
              <w:rPr>
                <w:lang w:val="en-GB"/>
              </w:rPr>
            </w:pPr>
            <w:r w:rsidRPr="005F4AB5">
              <w:rPr>
                <w:lang w:val="en-GB"/>
              </w:rPr>
              <w:t>A, B, D</w:t>
            </w:r>
          </w:p>
        </w:tc>
      </w:tr>
      <w:tr w:rsidR="00A34DD5" w:rsidRPr="005F4AB5" w14:paraId="42C336DE" w14:textId="77777777" w:rsidTr="00791BB0">
        <w:trPr>
          <w:cantSplit/>
        </w:trPr>
        <w:tc>
          <w:tcPr>
            <w:tcW w:w="7229" w:type="dxa"/>
          </w:tcPr>
          <w:p w14:paraId="3BDFC7E2" w14:textId="5F19BE88" w:rsidR="00994796" w:rsidRPr="005F4AB5" w:rsidRDefault="00994796" w:rsidP="000D58DB">
            <w:pPr>
              <w:spacing w:line="276" w:lineRule="auto"/>
            </w:pPr>
            <w:r w:rsidRPr="005F4AB5">
              <w:rPr>
                <w:i/>
                <w:szCs w:val="24"/>
              </w:rPr>
              <w:t>“Where a site has outline planning permission for major development, has been allocated in a development plan, has a grant of permission in principle, or is identified on a brownfield register, it should only be considered deliverable where there is clear evidence that housing completions will begin on site within five years</w:t>
            </w:r>
            <w:r w:rsidR="00064F0F" w:rsidRPr="005F4AB5">
              <w:rPr>
                <w:i/>
                <w:szCs w:val="24"/>
              </w:rPr>
              <w:t>.</w:t>
            </w:r>
            <w:r w:rsidRPr="005F4AB5">
              <w:rPr>
                <w:i/>
                <w:szCs w:val="24"/>
              </w:rPr>
              <w:t>”</w:t>
            </w:r>
          </w:p>
          <w:p w14:paraId="1BDD977D" w14:textId="4FA30410" w:rsidR="005D1515" w:rsidRPr="005F4AB5" w:rsidRDefault="005D1515" w:rsidP="000D58DB">
            <w:pPr>
              <w:rPr>
                <w:lang w:val="en-GB"/>
              </w:rPr>
            </w:pPr>
          </w:p>
        </w:tc>
        <w:tc>
          <w:tcPr>
            <w:tcW w:w="1727" w:type="dxa"/>
          </w:tcPr>
          <w:p w14:paraId="1F094C5C" w14:textId="30B3401F" w:rsidR="005D1515" w:rsidRPr="005F4AB5" w:rsidRDefault="00994796" w:rsidP="000D58DB">
            <w:pPr>
              <w:rPr>
                <w:lang w:val="en-GB"/>
              </w:rPr>
            </w:pPr>
            <w:r w:rsidRPr="005F4AB5">
              <w:rPr>
                <w:lang w:val="en-GB"/>
              </w:rPr>
              <w:t>C, F, G</w:t>
            </w:r>
          </w:p>
        </w:tc>
      </w:tr>
      <w:tr w:rsidR="00A34DD5" w:rsidRPr="005F4AB5" w14:paraId="3076BE51" w14:textId="77777777" w:rsidTr="00791BB0">
        <w:trPr>
          <w:cantSplit/>
        </w:trPr>
        <w:tc>
          <w:tcPr>
            <w:tcW w:w="7229" w:type="dxa"/>
          </w:tcPr>
          <w:p w14:paraId="13B7B379" w14:textId="417F20FF" w:rsidR="00994796" w:rsidRPr="005F4AB5" w:rsidRDefault="00994796" w:rsidP="000D58DB">
            <w:pPr>
              <w:spacing w:line="276" w:lineRule="auto"/>
              <w:rPr>
                <w:i/>
                <w:szCs w:val="24"/>
              </w:rPr>
            </w:pPr>
            <w:r w:rsidRPr="005F4AB5">
              <w:rPr>
                <w:i/>
                <w:szCs w:val="24"/>
              </w:rPr>
              <w:t>“Where an allowance is to be made for windfall sites as part of anticipated supply, there should be compelling evidence that they will provide a reliable source of supply. Any allowance should be realistic having regard to the strategic housing land availability assessment, historic windfall delivery rates and expected future trends…”</w:t>
            </w:r>
          </w:p>
        </w:tc>
        <w:tc>
          <w:tcPr>
            <w:tcW w:w="1727" w:type="dxa"/>
          </w:tcPr>
          <w:p w14:paraId="096CDD69" w14:textId="36C0243B" w:rsidR="00994796" w:rsidRPr="005F4AB5" w:rsidRDefault="00994796" w:rsidP="000D58DB">
            <w:pPr>
              <w:rPr>
                <w:lang w:val="en-GB"/>
              </w:rPr>
            </w:pPr>
            <w:r w:rsidRPr="005F4AB5">
              <w:rPr>
                <w:lang w:val="en-GB"/>
              </w:rPr>
              <w:t>E</w:t>
            </w:r>
          </w:p>
        </w:tc>
      </w:tr>
    </w:tbl>
    <w:p w14:paraId="7D955C3B" w14:textId="3273CC55" w:rsidR="00F36CC2" w:rsidRPr="005F4AB5" w:rsidRDefault="00F36CC2" w:rsidP="000D58DB">
      <w:pPr>
        <w:pStyle w:val="ListParagraph"/>
        <w:widowControl/>
        <w:autoSpaceDE/>
        <w:autoSpaceDN/>
        <w:spacing w:line="276" w:lineRule="auto"/>
        <w:ind w:left="720" w:firstLine="0"/>
        <w:jc w:val="left"/>
        <w:rPr>
          <w:color w:val="000000" w:themeColor="text1"/>
          <w:szCs w:val="24"/>
        </w:rPr>
      </w:pPr>
    </w:p>
    <w:p w14:paraId="40F509AF" w14:textId="564D0B11" w:rsidR="00F91EA9" w:rsidRPr="005F4AB5" w:rsidRDefault="00F36CC2" w:rsidP="000D58DB">
      <w:pPr>
        <w:rPr>
          <w:color w:val="000000" w:themeColor="text1"/>
          <w:szCs w:val="24"/>
        </w:rPr>
      </w:pPr>
      <w:r w:rsidRPr="005F4AB5">
        <w:rPr>
          <w:color w:val="000000" w:themeColor="text1"/>
          <w:szCs w:val="24"/>
        </w:rPr>
        <w:br w:type="page"/>
      </w:r>
    </w:p>
    <w:p w14:paraId="392191D0" w14:textId="2DD8014D" w:rsidR="003D00CA" w:rsidRPr="005F4AB5" w:rsidRDefault="003D00CA" w:rsidP="0084751A">
      <w:pPr>
        <w:pStyle w:val="Heading2"/>
        <w:ind w:hanging="720"/>
        <w:rPr>
          <w:color w:val="auto"/>
        </w:rPr>
      </w:pPr>
      <w:bookmarkStart w:id="68" w:name="_Toc210303304"/>
      <w:bookmarkStart w:id="69" w:name="_Toc210308095"/>
      <w:r w:rsidRPr="005F4AB5">
        <w:rPr>
          <w:color w:val="auto"/>
        </w:rPr>
        <w:lastRenderedPageBreak/>
        <w:t>H</w:t>
      </w:r>
      <w:r w:rsidR="00960115" w:rsidRPr="005F4AB5">
        <w:rPr>
          <w:color w:val="auto"/>
        </w:rPr>
        <w:t>ousing delivery</w:t>
      </w:r>
      <w:bookmarkEnd w:id="68"/>
      <w:bookmarkEnd w:id="69"/>
      <w:r w:rsidR="00960115" w:rsidRPr="005F4AB5">
        <w:rPr>
          <w:color w:val="auto"/>
        </w:rPr>
        <w:t xml:space="preserve"> </w:t>
      </w:r>
    </w:p>
    <w:p w14:paraId="01839571" w14:textId="05699C83" w:rsidR="003D00CA" w:rsidRPr="005F4AB5" w:rsidRDefault="00264DFF" w:rsidP="000D58DB">
      <w:pPr>
        <w:pStyle w:val="ListParagraph"/>
        <w:widowControl/>
        <w:numPr>
          <w:ilvl w:val="1"/>
          <w:numId w:val="7"/>
        </w:numPr>
        <w:autoSpaceDE/>
        <w:autoSpaceDN/>
        <w:spacing w:line="276" w:lineRule="auto"/>
        <w:ind w:hanging="720"/>
        <w:jc w:val="left"/>
        <w:rPr>
          <w:szCs w:val="24"/>
        </w:rPr>
      </w:pPr>
      <w:r w:rsidRPr="005F4AB5">
        <w:rPr>
          <w:rFonts w:asciiTheme="minorHAnsi" w:hAnsiTheme="minorHAnsi" w:cstheme="minorHAnsi"/>
          <w:szCs w:val="24"/>
        </w:rPr>
        <w:t xml:space="preserve">The breakdown of </w:t>
      </w:r>
      <w:r w:rsidR="0037636C" w:rsidRPr="005F4AB5">
        <w:rPr>
          <w:rFonts w:asciiTheme="minorHAnsi" w:hAnsiTheme="minorHAnsi" w:cstheme="minorHAnsi"/>
          <w:szCs w:val="24"/>
        </w:rPr>
        <w:t>GCC</w:t>
      </w:r>
      <w:r w:rsidRPr="005F4AB5">
        <w:rPr>
          <w:rFonts w:asciiTheme="minorHAnsi" w:hAnsiTheme="minorHAnsi" w:cstheme="minorHAnsi"/>
          <w:szCs w:val="24"/>
        </w:rPr>
        <w:t xml:space="preserve">’s supply of housing land by the different categories can be seen in </w:t>
      </w:r>
      <w:r w:rsidRPr="005F4AB5">
        <w:rPr>
          <w:rFonts w:asciiTheme="minorHAnsi" w:hAnsiTheme="minorHAnsi" w:cstheme="minorHAnsi"/>
          <w:b/>
          <w:bCs/>
          <w:szCs w:val="24"/>
        </w:rPr>
        <w:fldChar w:fldCharType="begin"/>
      </w:r>
      <w:r w:rsidRPr="005F4AB5">
        <w:rPr>
          <w:rFonts w:asciiTheme="minorHAnsi" w:hAnsiTheme="minorHAnsi" w:cstheme="minorHAnsi"/>
          <w:b/>
          <w:bCs/>
          <w:szCs w:val="24"/>
        </w:rPr>
        <w:instrText xml:space="preserve"> REF _Ref135741763 \h  \* MERGEFORMAT </w:instrText>
      </w:r>
      <w:r w:rsidRPr="005F4AB5">
        <w:rPr>
          <w:rFonts w:asciiTheme="minorHAnsi" w:hAnsiTheme="minorHAnsi" w:cstheme="minorHAnsi"/>
          <w:b/>
          <w:bCs/>
          <w:szCs w:val="24"/>
        </w:rPr>
      </w:r>
      <w:r w:rsidRPr="005F4AB5">
        <w:rPr>
          <w:rFonts w:asciiTheme="minorHAnsi" w:hAnsiTheme="minorHAnsi" w:cstheme="minorHAnsi"/>
          <w:b/>
          <w:bCs/>
          <w:szCs w:val="24"/>
        </w:rPr>
        <w:fldChar w:fldCharType="separate"/>
      </w:r>
      <w:r w:rsidR="00033F80" w:rsidRPr="005F4AB5">
        <w:rPr>
          <w:b/>
          <w:bCs/>
          <w:szCs w:val="24"/>
        </w:rPr>
        <w:t xml:space="preserve">Figure </w:t>
      </w:r>
      <w:r w:rsidR="00033F80">
        <w:rPr>
          <w:b/>
          <w:bCs/>
          <w:noProof/>
          <w:szCs w:val="24"/>
        </w:rPr>
        <w:t>5</w:t>
      </w:r>
      <w:r w:rsidRPr="005F4AB5">
        <w:rPr>
          <w:rFonts w:asciiTheme="minorHAnsi" w:hAnsiTheme="minorHAnsi" w:cstheme="minorHAnsi"/>
          <w:b/>
          <w:bCs/>
          <w:szCs w:val="24"/>
        </w:rPr>
        <w:fldChar w:fldCharType="end"/>
      </w:r>
      <w:r w:rsidRPr="005F4AB5">
        <w:rPr>
          <w:rFonts w:asciiTheme="minorHAnsi" w:hAnsiTheme="minorHAnsi" w:cstheme="minorHAnsi"/>
          <w:szCs w:val="24"/>
        </w:rPr>
        <w:t>.</w:t>
      </w:r>
    </w:p>
    <w:p w14:paraId="2E2401D4" w14:textId="0EA689DD" w:rsidR="0020780A" w:rsidRPr="005F4AB5" w:rsidRDefault="0020780A" w:rsidP="000D58DB">
      <w:pPr>
        <w:rPr>
          <w:szCs w:val="24"/>
        </w:rPr>
      </w:pPr>
    </w:p>
    <w:p w14:paraId="68D7F39B" w14:textId="676F056F" w:rsidR="005B6D8E" w:rsidRPr="005F4AB5" w:rsidRDefault="005B6D8E" w:rsidP="000D58DB">
      <w:pPr>
        <w:spacing w:after="120"/>
        <w:ind w:left="709"/>
        <w:rPr>
          <w:b/>
          <w:bCs/>
          <w:i/>
          <w:szCs w:val="24"/>
        </w:rPr>
      </w:pPr>
      <w:bookmarkStart w:id="70" w:name="_Ref135741763"/>
      <w:bookmarkStart w:id="71" w:name="_Toc208233935"/>
      <w:bookmarkStart w:id="72" w:name="_Hlk173167182"/>
      <w:r w:rsidRPr="005F4AB5">
        <w:rPr>
          <w:b/>
          <w:bCs/>
          <w:szCs w:val="24"/>
        </w:rPr>
        <w:t xml:space="preserve">Figure </w:t>
      </w:r>
      <w:r w:rsidRPr="005F4AB5">
        <w:rPr>
          <w:b/>
          <w:bCs/>
          <w:i/>
          <w:szCs w:val="24"/>
        </w:rPr>
        <w:fldChar w:fldCharType="begin"/>
      </w:r>
      <w:r w:rsidRPr="005F4AB5">
        <w:rPr>
          <w:b/>
          <w:bCs/>
          <w:szCs w:val="24"/>
        </w:rPr>
        <w:instrText xml:space="preserve"> SEQ Figure \* ARABIC </w:instrText>
      </w:r>
      <w:r w:rsidRPr="005F4AB5">
        <w:rPr>
          <w:b/>
          <w:bCs/>
          <w:i/>
          <w:szCs w:val="24"/>
        </w:rPr>
        <w:fldChar w:fldCharType="separate"/>
      </w:r>
      <w:r w:rsidR="00033F80">
        <w:rPr>
          <w:b/>
          <w:bCs/>
          <w:noProof/>
          <w:szCs w:val="24"/>
        </w:rPr>
        <w:t>5</w:t>
      </w:r>
      <w:r w:rsidRPr="005F4AB5">
        <w:rPr>
          <w:b/>
          <w:bCs/>
          <w:i/>
          <w:szCs w:val="24"/>
        </w:rPr>
        <w:fldChar w:fldCharType="end"/>
      </w:r>
      <w:bookmarkEnd w:id="62"/>
      <w:bookmarkEnd w:id="70"/>
      <w:r w:rsidRPr="005F4AB5">
        <w:rPr>
          <w:b/>
          <w:bCs/>
          <w:szCs w:val="24"/>
        </w:rPr>
        <w:t xml:space="preserve">: Breakdown of </w:t>
      </w:r>
      <w:r w:rsidR="00672E79" w:rsidRPr="005F4AB5">
        <w:rPr>
          <w:b/>
          <w:bCs/>
          <w:szCs w:val="24"/>
        </w:rPr>
        <w:t>GCC’</w:t>
      </w:r>
      <w:r w:rsidR="00D142EF" w:rsidRPr="005F4AB5">
        <w:rPr>
          <w:b/>
          <w:bCs/>
          <w:szCs w:val="24"/>
        </w:rPr>
        <w:t xml:space="preserve">s </w:t>
      </w:r>
      <w:r w:rsidRPr="005F4AB5">
        <w:rPr>
          <w:b/>
          <w:bCs/>
          <w:szCs w:val="24"/>
        </w:rPr>
        <w:t xml:space="preserve">supply of housing land </w:t>
      </w:r>
      <w:r w:rsidR="00DD0B47" w:rsidRPr="005F4AB5">
        <w:rPr>
          <w:b/>
          <w:bCs/>
          <w:szCs w:val="24"/>
        </w:rPr>
        <w:t xml:space="preserve">(by year) </w:t>
      </w:r>
      <w:r w:rsidRPr="005F4AB5">
        <w:rPr>
          <w:b/>
          <w:bCs/>
          <w:szCs w:val="24"/>
        </w:rPr>
        <w:t xml:space="preserve">for 1 April </w:t>
      </w:r>
      <w:r w:rsidR="006C0B8A" w:rsidRPr="005F4AB5">
        <w:rPr>
          <w:b/>
          <w:bCs/>
          <w:szCs w:val="24"/>
        </w:rPr>
        <w:t>202</w:t>
      </w:r>
      <w:r w:rsidR="002E61F9" w:rsidRPr="005F4AB5">
        <w:rPr>
          <w:b/>
          <w:bCs/>
          <w:szCs w:val="24"/>
        </w:rPr>
        <w:t>5</w:t>
      </w:r>
      <w:r w:rsidR="006C0B8A" w:rsidRPr="005F4AB5">
        <w:rPr>
          <w:b/>
          <w:bCs/>
          <w:szCs w:val="24"/>
        </w:rPr>
        <w:t xml:space="preserve"> </w:t>
      </w:r>
      <w:r w:rsidRPr="005F4AB5">
        <w:rPr>
          <w:b/>
          <w:bCs/>
          <w:szCs w:val="24"/>
        </w:rPr>
        <w:t xml:space="preserve">to 31 March </w:t>
      </w:r>
      <w:r w:rsidR="006C0B8A" w:rsidRPr="005F4AB5">
        <w:rPr>
          <w:b/>
          <w:bCs/>
          <w:szCs w:val="24"/>
        </w:rPr>
        <w:t>20</w:t>
      </w:r>
      <w:r w:rsidR="002E61F9" w:rsidRPr="005F4AB5">
        <w:rPr>
          <w:b/>
          <w:bCs/>
          <w:szCs w:val="24"/>
        </w:rPr>
        <w:t>30</w:t>
      </w:r>
      <w:bookmarkEnd w:id="71"/>
    </w:p>
    <w:tbl>
      <w:tblPr>
        <w:tblStyle w:val="TableGrid"/>
        <w:tblW w:w="4989" w:type="pct"/>
        <w:tblInd w:w="137" w:type="dxa"/>
        <w:tblLayout w:type="fixed"/>
        <w:tblLook w:val="04A0" w:firstRow="1" w:lastRow="0" w:firstColumn="1" w:lastColumn="0" w:noHBand="0" w:noVBand="1"/>
      </w:tblPr>
      <w:tblGrid>
        <w:gridCol w:w="2273"/>
        <w:gridCol w:w="1141"/>
        <w:gridCol w:w="1130"/>
        <w:gridCol w:w="1130"/>
        <w:gridCol w:w="1134"/>
        <w:gridCol w:w="1135"/>
        <w:gridCol w:w="1696"/>
      </w:tblGrid>
      <w:tr w:rsidR="00A34DD5" w:rsidRPr="005F4AB5" w14:paraId="7ED5DE6A" w14:textId="504D92FF" w:rsidTr="00CB1933">
        <w:trPr>
          <w:cantSplit/>
          <w:trHeight w:val="849"/>
          <w:tblHeader/>
        </w:trPr>
        <w:tc>
          <w:tcPr>
            <w:tcW w:w="1179" w:type="pct"/>
          </w:tcPr>
          <w:p w14:paraId="46F442E8" w14:textId="3884F0C2" w:rsidR="00E04472" w:rsidRPr="005F4AB5" w:rsidRDefault="00E04472" w:rsidP="000D58DB">
            <w:pPr>
              <w:rPr>
                <w:b/>
                <w:bCs/>
              </w:rPr>
            </w:pPr>
            <w:r w:rsidRPr="005F4AB5">
              <w:rPr>
                <w:b/>
                <w:bCs/>
              </w:rPr>
              <w:t xml:space="preserve">Supply </w:t>
            </w:r>
            <w:r w:rsidR="00960115" w:rsidRPr="005F4AB5">
              <w:rPr>
                <w:b/>
                <w:bCs/>
              </w:rPr>
              <w:t>s</w:t>
            </w:r>
            <w:r w:rsidRPr="005F4AB5">
              <w:rPr>
                <w:b/>
                <w:bCs/>
              </w:rPr>
              <w:t>ource (as at 31 March 202</w:t>
            </w:r>
            <w:r w:rsidR="00BB6022" w:rsidRPr="005F4AB5">
              <w:rPr>
                <w:b/>
                <w:bCs/>
              </w:rPr>
              <w:t>5</w:t>
            </w:r>
            <w:r w:rsidRPr="005F4AB5">
              <w:rPr>
                <w:b/>
                <w:bCs/>
              </w:rPr>
              <w:t xml:space="preserve"> unless otherwise specified)</w:t>
            </w:r>
          </w:p>
        </w:tc>
        <w:tc>
          <w:tcPr>
            <w:tcW w:w="592" w:type="pct"/>
          </w:tcPr>
          <w:p w14:paraId="6C7A2850" w14:textId="1973DB8A" w:rsidR="00E04472" w:rsidRPr="005F4AB5" w:rsidRDefault="00E04472" w:rsidP="000D58DB">
            <w:pPr>
              <w:rPr>
                <w:b/>
                <w:bCs/>
                <w:lang w:val="en-GB"/>
              </w:rPr>
            </w:pPr>
            <w:r w:rsidRPr="005F4AB5">
              <w:rPr>
                <w:b/>
                <w:bCs/>
                <w:lang w:val="en-GB"/>
              </w:rPr>
              <w:t>202</w:t>
            </w:r>
            <w:r w:rsidR="00BB6022" w:rsidRPr="005F4AB5">
              <w:rPr>
                <w:b/>
                <w:bCs/>
                <w:lang w:val="en-GB"/>
              </w:rPr>
              <w:t>5</w:t>
            </w:r>
            <w:r w:rsidRPr="005F4AB5">
              <w:rPr>
                <w:b/>
                <w:bCs/>
                <w:lang w:val="en-GB"/>
              </w:rPr>
              <w:t>-2</w:t>
            </w:r>
            <w:r w:rsidR="00BB6022" w:rsidRPr="005F4AB5">
              <w:rPr>
                <w:b/>
                <w:bCs/>
                <w:lang w:val="en-GB"/>
              </w:rPr>
              <w:t>6</w:t>
            </w:r>
          </w:p>
        </w:tc>
        <w:tc>
          <w:tcPr>
            <w:tcW w:w="586" w:type="pct"/>
          </w:tcPr>
          <w:p w14:paraId="2569711C" w14:textId="3173D938" w:rsidR="00E04472" w:rsidRPr="005F4AB5" w:rsidRDefault="00E04472" w:rsidP="000D58DB">
            <w:pPr>
              <w:rPr>
                <w:b/>
                <w:bCs/>
                <w:lang w:val="en-GB"/>
              </w:rPr>
            </w:pPr>
            <w:r w:rsidRPr="005F4AB5">
              <w:rPr>
                <w:b/>
                <w:bCs/>
                <w:lang w:val="en-GB"/>
              </w:rPr>
              <w:t>202</w:t>
            </w:r>
            <w:r w:rsidR="00BB6022" w:rsidRPr="005F4AB5">
              <w:rPr>
                <w:b/>
                <w:bCs/>
                <w:lang w:val="en-GB"/>
              </w:rPr>
              <w:t>6</w:t>
            </w:r>
            <w:r w:rsidRPr="005F4AB5">
              <w:rPr>
                <w:b/>
                <w:bCs/>
                <w:lang w:val="en-GB"/>
              </w:rPr>
              <w:t>-2</w:t>
            </w:r>
            <w:r w:rsidR="00BB6022" w:rsidRPr="005F4AB5">
              <w:rPr>
                <w:b/>
                <w:bCs/>
                <w:lang w:val="en-GB"/>
              </w:rPr>
              <w:t>7</w:t>
            </w:r>
          </w:p>
        </w:tc>
        <w:tc>
          <w:tcPr>
            <w:tcW w:w="586" w:type="pct"/>
          </w:tcPr>
          <w:p w14:paraId="59251650" w14:textId="02C4C1C8" w:rsidR="00E04472" w:rsidRPr="005F4AB5" w:rsidRDefault="00E04472" w:rsidP="000D58DB">
            <w:pPr>
              <w:rPr>
                <w:b/>
                <w:bCs/>
                <w:lang w:val="en-GB"/>
              </w:rPr>
            </w:pPr>
            <w:r w:rsidRPr="005F4AB5">
              <w:rPr>
                <w:b/>
                <w:bCs/>
                <w:lang w:val="en-GB"/>
              </w:rPr>
              <w:t>202</w:t>
            </w:r>
            <w:r w:rsidR="00BB6022" w:rsidRPr="005F4AB5">
              <w:rPr>
                <w:b/>
                <w:bCs/>
                <w:lang w:val="en-GB"/>
              </w:rPr>
              <w:t>7</w:t>
            </w:r>
            <w:r w:rsidRPr="005F4AB5">
              <w:rPr>
                <w:b/>
                <w:bCs/>
                <w:lang w:val="en-GB"/>
              </w:rPr>
              <w:t>-2</w:t>
            </w:r>
            <w:r w:rsidR="00BB6022" w:rsidRPr="005F4AB5">
              <w:rPr>
                <w:b/>
                <w:bCs/>
                <w:lang w:val="en-GB"/>
              </w:rPr>
              <w:t>8</w:t>
            </w:r>
          </w:p>
        </w:tc>
        <w:tc>
          <w:tcPr>
            <w:tcW w:w="588" w:type="pct"/>
          </w:tcPr>
          <w:p w14:paraId="687733E6" w14:textId="174EE3F5" w:rsidR="00E04472" w:rsidRPr="005F4AB5" w:rsidDel="008D3C7E" w:rsidRDefault="00E04472" w:rsidP="000D58DB">
            <w:pPr>
              <w:rPr>
                <w:b/>
                <w:bCs/>
                <w:lang w:val="en-GB"/>
              </w:rPr>
            </w:pPr>
            <w:r w:rsidRPr="005F4AB5">
              <w:rPr>
                <w:b/>
                <w:bCs/>
                <w:lang w:val="en-GB"/>
              </w:rPr>
              <w:t>202</w:t>
            </w:r>
            <w:r w:rsidR="00BB6022" w:rsidRPr="005F4AB5">
              <w:rPr>
                <w:b/>
                <w:bCs/>
                <w:lang w:val="en-GB"/>
              </w:rPr>
              <w:t>8</w:t>
            </w:r>
            <w:r w:rsidRPr="005F4AB5">
              <w:rPr>
                <w:b/>
                <w:bCs/>
                <w:lang w:val="en-GB"/>
              </w:rPr>
              <w:t>-2</w:t>
            </w:r>
            <w:r w:rsidR="00BB6022" w:rsidRPr="005F4AB5">
              <w:rPr>
                <w:b/>
                <w:bCs/>
                <w:lang w:val="en-GB"/>
              </w:rPr>
              <w:t>9</w:t>
            </w:r>
          </w:p>
        </w:tc>
        <w:tc>
          <w:tcPr>
            <w:tcW w:w="589" w:type="pct"/>
          </w:tcPr>
          <w:p w14:paraId="315EDDA7" w14:textId="05623058" w:rsidR="00E04472" w:rsidRPr="005F4AB5" w:rsidRDefault="00E04472" w:rsidP="000D58DB">
            <w:pPr>
              <w:rPr>
                <w:b/>
                <w:bCs/>
                <w:lang w:val="en-GB"/>
              </w:rPr>
            </w:pPr>
            <w:r w:rsidRPr="005F4AB5">
              <w:rPr>
                <w:b/>
                <w:bCs/>
                <w:lang w:val="en-GB"/>
              </w:rPr>
              <w:t>202</w:t>
            </w:r>
            <w:r w:rsidR="00BB6022" w:rsidRPr="005F4AB5">
              <w:rPr>
                <w:b/>
                <w:bCs/>
                <w:lang w:val="en-GB"/>
              </w:rPr>
              <w:t>9</w:t>
            </w:r>
            <w:r w:rsidRPr="005F4AB5">
              <w:rPr>
                <w:b/>
                <w:bCs/>
                <w:lang w:val="en-GB"/>
              </w:rPr>
              <w:t>-</w:t>
            </w:r>
            <w:r w:rsidR="00BB6022" w:rsidRPr="005F4AB5">
              <w:rPr>
                <w:b/>
                <w:bCs/>
                <w:lang w:val="en-GB"/>
              </w:rPr>
              <w:t>30</w:t>
            </w:r>
          </w:p>
        </w:tc>
        <w:tc>
          <w:tcPr>
            <w:tcW w:w="880" w:type="pct"/>
          </w:tcPr>
          <w:p w14:paraId="4B0D268A" w14:textId="22AB343E" w:rsidR="00E04472" w:rsidRPr="005F4AB5" w:rsidRDefault="00E04472" w:rsidP="000D58DB">
            <w:pPr>
              <w:rPr>
                <w:b/>
                <w:bCs/>
                <w:lang w:val="en-GB"/>
              </w:rPr>
            </w:pPr>
            <w:r w:rsidRPr="005F4AB5">
              <w:rPr>
                <w:b/>
                <w:bCs/>
                <w:lang w:val="en-GB"/>
              </w:rPr>
              <w:t>202</w:t>
            </w:r>
            <w:r w:rsidR="00BB6022" w:rsidRPr="005F4AB5">
              <w:rPr>
                <w:b/>
                <w:bCs/>
                <w:lang w:val="en-GB"/>
              </w:rPr>
              <w:t>5</w:t>
            </w:r>
            <w:r w:rsidRPr="005F4AB5">
              <w:rPr>
                <w:b/>
                <w:bCs/>
                <w:lang w:val="en-GB"/>
              </w:rPr>
              <w:t>-20</w:t>
            </w:r>
            <w:r w:rsidR="00BB6022" w:rsidRPr="005F4AB5">
              <w:rPr>
                <w:b/>
                <w:bCs/>
                <w:lang w:val="en-GB"/>
              </w:rPr>
              <w:t xml:space="preserve">30 </w:t>
            </w:r>
            <w:r w:rsidRPr="005F4AB5">
              <w:rPr>
                <w:b/>
                <w:bCs/>
                <w:lang w:val="en-GB"/>
              </w:rPr>
              <w:t xml:space="preserve">(total </w:t>
            </w:r>
            <w:r w:rsidR="00CB1933" w:rsidRPr="005F4AB5">
              <w:rPr>
                <w:b/>
                <w:bCs/>
                <w:lang w:val="en-GB"/>
              </w:rPr>
              <w:t>five-</w:t>
            </w:r>
            <w:r w:rsidRPr="005F4AB5">
              <w:rPr>
                <w:b/>
                <w:bCs/>
                <w:lang w:val="en-GB"/>
              </w:rPr>
              <w:t>year supply)</w:t>
            </w:r>
          </w:p>
        </w:tc>
      </w:tr>
      <w:tr w:rsidR="00A34DD5" w:rsidRPr="005F4AB5" w14:paraId="539CC8CC" w14:textId="528C572B" w:rsidTr="00CB1933">
        <w:trPr>
          <w:cantSplit/>
          <w:trHeight w:val="745"/>
        </w:trPr>
        <w:tc>
          <w:tcPr>
            <w:tcW w:w="1179" w:type="pct"/>
          </w:tcPr>
          <w:p w14:paraId="634F828E" w14:textId="2631ACBB" w:rsidR="00E04472" w:rsidRPr="005F4AB5" w:rsidRDefault="00E04472" w:rsidP="00064F0F">
            <w:pPr>
              <w:rPr>
                <w:lang w:val="en-GB"/>
              </w:rPr>
            </w:pPr>
            <w:r w:rsidRPr="005F4AB5">
              <w:t xml:space="preserve">A </w:t>
            </w:r>
            <w:r w:rsidR="00064F0F" w:rsidRPr="005F4AB5">
              <w:t xml:space="preserve">– </w:t>
            </w:r>
            <w:r w:rsidRPr="005F4AB5">
              <w:t xml:space="preserve">Major </w:t>
            </w:r>
            <w:r w:rsidR="00737AFE" w:rsidRPr="005F4AB5">
              <w:t>s</w:t>
            </w:r>
            <w:r w:rsidRPr="005F4AB5">
              <w:t xml:space="preserve">ites </w:t>
            </w:r>
            <w:r w:rsidR="00737AFE" w:rsidRPr="005F4AB5">
              <w:t>(</w:t>
            </w:r>
            <w:r w:rsidRPr="005F4AB5">
              <w:t>10+ net dwellings</w:t>
            </w:r>
            <w:r w:rsidR="00737AFE" w:rsidRPr="005F4AB5">
              <w:t>)</w:t>
            </w:r>
            <w:r w:rsidRPr="005F4AB5">
              <w:t xml:space="preserve"> with detailed planning permission</w:t>
            </w:r>
          </w:p>
        </w:tc>
        <w:tc>
          <w:tcPr>
            <w:tcW w:w="592" w:type="pct"/>
          </w:tcPr>
          <w:p w14:paraId="760766ED" w14:textId="3C203DA3" w:rsidR="00E04472" w:rsidRPr="005F4AB5" w:rsidRDefault="00892356" w:rsidP="000D58DB">
            <w:pPr>
              <w:rPr>
                <w:lang w:val="en-GB"/>
              </w:rPr>
            </w:pPr>
            <w:r w:rsidRPr="005F4AB5">
              <w:rPr>
                <w:lang w:val="en-GB"/>
              </w:rPr>
              <w:t>206</w:t>
            </w:r>
          </w:p>
        </w:tc>
        <w:tc>
          <w:tcPr>
            <w:tcW w:w="586" w:type="pct"/>
          </w:tcPr>
          <w:p w14:paraId="15047D40" w14:textId="690653E3" w:rsidR="00E04472" w:rsidRPr="005F4AB5" w:rsidRDefault="00892356" w:rsidP="000D58DB">
            <w:pPr>
              <w:rPr>
                <w:lang w:val="en-GB"/>
              </w:rPr>
            </w:pPr>
            <w:r w:rsidRPr="005F4AB5">
              <w:rPr>
                <w:lang w:val="en-GB"/>
              </w:rPr>
              <w:t>194</w:t>
            </w:r>
          </w:p>
        </w:tc>
        <w:tc>
          <w:tcPr>
            <w:tcW w:w="586" w:type="pct"/>
          </w:tcPr>
          <w:p w14:paraId="6845AA22" w14:textId="4C508E13" w:rsidR="00E04472" w:rsidRPr="005F4AB5" w:rsidRDefault="0018245F" w:rsidP="000D58DB">
            <w:pPr>
              <w:rPr>
                <w:lang w:val="en-GB"/>
              </w:rPr>
            </w:pPr>
            <w:r>
              <w:rPr>
                <w:lang w:val="en-GB"/>
              </w:rPr>
              <w:t>212</w:t>
            </w:r>
          </w:p>
        </w:tc>
        <w:tc>
          <w:tcPr>
            <w:tcW w:w="588" w:type="pct"/>
          </w:tcPr>
          <w:p w14:paraId="181703C2" w14:textId="799C3CA2" w:rsidR="00E04472" w:rsidRPr="005F4AB5" w:rsidDel="008D3C7E" w:rsidRDefault="0018245F" w:rsidP="000D58DB">
            <w:r>
              <w:t>220</w:t>
            </w:r>
          </w:p>
        </w:tc>
        <w:tc>
          <w:tcPr>
            <w:tcW w:w="589" w:type="pct"/>
          </w:tcPr>
          <w:p w14:paraId="46799564" w14:textId="1206E06F" w:rsidR="00E04472" w:rsidRPr="005F4AB5" w:rsidRDefault="0018245F" w:rsidP="000D58DB">
            <w:r>
              <w:t>217</w:t>
            </w:r>
          </w:p>
        </w:tc>
        <w:tc>
          <w:tcPr>
            <w:tcW w:w="880" w:type="pct"/>
          </w:tcPr>
          <w:p w14:paraId="6CF9010F" w14:textId="5D5CDDAA" w:rsidR="00E04472" w:rsidRPr="005F4AB5" w:rsidRDefault="0018245F" w:rsidP="000D58DB">
            <w:r>
              <w:t>1</w:t>
            </w:r>
            <w:r w:rsidR="00B46C15">
              <w:t>,</w:t>
            </w:r>
            <w:r>
              <w:t>049</w:t>
            </w:r>
          </w:p>
        </w:tc>
      </w:tr>
      <w:tr w:rsidR="00A34DD5" w:rsidRPr="005F4AB5" w14:paraId="24BCD648" w14:textId="27AA80A1" w:rsidTr="00CB1933">
        <w:trPr>
          <w:cantSplit/>
          <w:trHeight w:val="1016"/>
        </w:trPr>
        <w:tc>
          <w:tcPr>
            <w:tcW w:w="1179" w:type="pct"/>
          </w:tcPr>
          <w:p w14:paraId="40D009E9" w14:textId="14C465D6" w:rsidR="00E04472" w:rsidRPr="005F4AB5" w:rsidRDefault="00E04472" w:rsidP="000D58DB">
            <w:pPr>
              <w:rPr>
                <w:lang w:val="en-GB"/>
              </w:rPr>
            </w:pPr>
            <w:r w:rsidRPr="005F4AB5">
              <w:t>B – Medium sites (5-9 net dwellings) with  detailed planning permission</w:t>
            </w:r>
          </w:p>
        </w:tc>
        <w:tc>
          <w:tcPr>
            <w:tcW w:w="592" w:type="pct"/>
          </w:tcPr>
          <w:p w14:paraId="452A7C2D" w14:textId="35AABFC5" w:rsidR="00E04472" w:rsidRPr="005F4AB5" w:rsidRDefault="00531761" w:rsidP="000D58DB">
            <w:pPr>
              <w:rPr>
                <w:lang w:val="en-GB"/>
              </w:rPr>
            </w:pPr>
            <w:r w:rsidRPr="005F4AB5">
              <w:rPr>
                <w:lang w:val="en-GB"/>
              </w:rPr>
              <w:t>1</w:t>
            </w:r>
            <w:r w:rsidR="00892356" w:rsidRPr="005F4AB5">
              <w:rPr>
                <w:lang w:val="en-GB"/>
              </w:rPr>
              <w:t>2</w:t>
            </w:r>
          </w:p>
        </w:tc>
        <w:tc>
          <w:tcPr>
            <w:tcW w:w="586" w:type="pct"/>
          </w:tcPr>
          <w:p w14:paraId="09EAA1A5" w14:textId="53E372C6" w:rsidR="00E04472" w:rsidRPr="005F4AB5" w:rsidRDefault="00531761" w:rsidP="000D58DB">
            <w:pPr>
              <w:rPr>
                <w:lang w:val="en-GB"/>
              </w:rPr>
            </w:pPr>
            <w:r w:rsidRPr="005F4AB5">
              <w:rPr>
                <w:lang w:val="en-GB"/>
              </w:rPr>
              <w:t>29</w:t>
            </w:r>
          </w:p>
        </w:tc>
        <w:tc>
          <w:tcPr>
            <w:tcW w:w="586" w:type="pct"/>
          </w:tcPr>
          <w:p w14:paraId="0947DB83" w14:textId="57B705CC" w:rsidR="00E04472" w:rsidRPr="005F4AB5" w:rsidRDefault="00531761" w:rsidP="000D58DB">
            <w:pPr>
              <w:rPr>
                <w:lang w:val="en-GB"/>
              </w:rPr>
            </w:pPr>
            <w:r w:rsidRPr="005F4AB5">
              <w:rPr>
                <w:lang w:val="en-GB"/>
              </w:rPr>
              <w:t>0</w:t>
            </w:r>
          </w:p>
        </w:tc>
        <w:tc>
          <w:tcPr>
            <w:tcW w:w="588" w:type="pct"/>
          </w:tcPr>
          <w:p w14:paraId="525FBD3E" w14:textId="23664438" w:rsidR="00E04472" w:rsidRPr="005F4AB5" w:rsidDel="008D3C7E" w:rsidRDefault="00531761" w:rsidP="000D58DB">
            <w:pPr>
              <w:rPr>
                <w:lang w:val="en-GB"/>
              </w:rPr>
            </w:pPr>
            <w:r w:rsidRPr="005F4AB5">
              <w:rPr>
                <w:lang w:val="en-GB"/>
              </w:rPr>
              <w:t>0</w:t>
            </w:r>
          </w:p>
        </w:tc>
        <w:tc>
          <w:tcPr>
            <w:tcW w:w="589" w:type="pct"/>
          </w:tcPr>
          <w:p w14:paraId="58C725AA" w14:textId="2553DB68" w:rsidR="00E04472" w:rsidRPr="005F4AB5" w:rsidRDefault="00531761" w:rsidP="000D58DB">
            <w:r w:rsidRPr="005F4AB5">
              <w:t>0</w:t>
            </w:r>
          </w:p>
        </w:tc>
        <w:tc>
          <w:tcPr>
            <w:tcW w:w="880" w:type="pct"/>
          </w:tcPr>
          <w:p w14:paraId="531574C8" w14:textId="2CA04557" w:rsidR="00E04472" w:rsidRPr="005F4AB5" w:rsidRDefault="00531761" w:rsidP="000D58DB">
            <w:r w:rsidRPr="005F4AB5">
              <w:t>4</w:t>
            </w:r>
            <w:r w:rsidR="003D0A8A" w:rsidRPr="005F4AB5">
              <w:t>1</w:t>
            </w:r>
          </w:p>
        </w:tc>
      </w:tr>
      <w:tr w:rsidR="00A34DD5" w:rsidRPr="005F4AB5" w14:paraId="7CAF8F30" w14:textId="792E03C1" w:rsidTr="00CB1933">
        <w:trPr>
          <w:cantSplit/>
          <w:trHeight w:val="838"/>
        </w:trPr>
        <w:tc>
          <w:tcPr>
            <w:tcW w:w="1179" w:type="pct"/>
          </w:tcPr>
          <w:p w14:paraId="7B7549A4" w14:textId="102B1037" w:rsidR="00E04472" w:rsidRPr="005F4AB5" w:rsidRDefault="00E04472" w:rsidP="000D58DB">
            <w:pPr>
              <w:rPr>
                <w:lang w:val="en-GB"/>
              </w:rPr>
            </w:pPr>
            <w:r w:rsidRPr="005F4AB5">
              <w:t xml:space="preserve">C – </w:t>
            </w:r>
            <w:r w:rsidR="006B5129" w:rsidRPr="005F4AB5">
              <w:t>Site</w:t>
            </w:r>
            <w:r w:rsidR="00064F0F" w:rsidRPr="005F4AB5">
              <w:t>s</w:t>
            </w:r>
            <w:r w:rsidR="006B5129" w:rsidRPr="005F4AB5">
              <w:t xml:space="preserve"> </w:t>
            </w:r>
            <w:r w:rsidRPr="005F4AB5">
              <w:t>with outline planning permission</w:t>
            </w:r>
          </w:p>
        </w:tc>
        <w:tc>
          <w:tcPr>
            <w:tcW w:w="592" w:type="pct"/>
          </w:tcPr>
          <w:p w14:paraId="7D556B8C" w14:textId="0C290AC3" w:rsidR="00E04472" w:rsidRPr="005F4AB5" w:rsidRDefault="00531761" w:rsidP="000D58DB">
            <w:pPr>
              <w:rPr>
                <w:lang w:val="en-GB"/>
              </w:rPr>
            </w:pPr>
            <w:r w:rsidRPr="005F4AB5">
              <w:rPr>
                <w:lang w:val="en-GB"/>
              </w:rPr>
              <w:t>0</w:t>
            </w:r>
          </w:p>
        </w:tc>
        <w:tc>
          <w:tcPr>
            <w:tcW w:w="586" w:type="pct"/>
          </w:tcPr>
          <w:p w14:paraId="510BE7D9" w14:textId="1D8E82C7" w:rsidR="00E04472" w:rsidRPr="005F4AB5" w:rsidRDefault="00531761" w:rsidP="000D58DB">
            <w:pPr>
              <w:rPr>
                <w:lang w:val="en-GB"/>
              </w:rPr>
            </w:pPr>
            <w:r w:rsidRPr="005F4AB5">
              <w:rPr>
                <w:lang w:val="en-GB"/>
              </w:rPr>
              <w:t>0</w:t>
            </w:r>
          </w:p>
        </w:tc>
        <w:tc>
          <w:tcPr>
            <w:tcW w:w="586" w:type="pct"/>
          </w:tcPr>
          <w:p w14:paraId="50CA51C3" w14:textId="7F3BDF03" w:rsidR="00E04472" w:rsidRPr="005F4AB5" w:rsidRDefault="00531761" w:rsidP="000D58DB">
            <w:pPr>
              <w:rPr>
                <w:lang w:val="en-GB"/>
              </w:rPr>
            </w:pPr>
            <w:r w:rsidRPr="005F4AB5">
              <w:rPr>
                <w:lang w:val="en-GB"/>
              </w:rPr>
              <w:t>0</w:t>
            </w:r>
          </w:p>
        </w:tc>
        <w:tc>
          <w:tcPr>
            <w:tcW w:w="588" w:type="pct"/>
          </w:tcPr>
          <w:p w14:paraId="19188722" w14:textId="36E7644F" w:rsidR="00E04472" w:rsidRPr="005F4AB5" w:rsidDel="008D3C7E" w:rsidRDefault="00531761" w:rsidP="000D58DB">
            <w:r w:rsidRPr="005F4AB5">
              <w:t>0</w:t>
            </w:r>
          </w:p>
        </w:tc>
        <w:tc>
          <w:tcPr>
            <w:tcW w:w="589" w:type="pct"/>
          </w:tcPr>
          <w:p w14:paraId="7EB2CBE1" w14:textId="66000C07" w:rsidR="00E04472" w:rsidRPr="005F4AB5" w:rsidRDefault="00531761" w:rsidP="000D58DB">
            <w:r w:rsidRPr="005F4AB5">
              <w:t>0</w:t>
            </w:r>
          </w:p>
        </w:tc>
        <w:tc>
          <w:tcPr>
            <w:tcW w:w="880" w:type="pct"/>
          </w:tcPr>
          <w:p w14:paraId="755300EA" w14:textId="2ADA66E0" w:rsidR="00E04472" w:rsidRPr="005F4AB5" w:rsidRDefault="00531761" w:rsidP="000D58DB">
            <w:r w:rsidRPr="005F4AB5">
              <w:t>0</w:t>
            </w:r>
          </w:p>
        </w:tc>
      </w:tr>
      <w:tr w:rsidR="00A34DD5" w:rsidRPr="005F4AB5" w14:paraId="727325E8" w14:textId="0C571051" w:rsidTr="00CB1933">
        <w:trPr>
          <w:cantSplit/>
          <w:trHeight w:val="836"/>
        </w:trPr>
        <w:tc>
          <w:tcPr>
            <w:tcW w:w="1179" w:type="pct"/>
          </w:tcPr>
          <w:p w14:paraId="76150D1C" w14:textId="06CECFF8" w:rsidR="00E04472" w:rsidRPr="005F4AB5" w:rsidRDefault="00E04472" w:rsidP="000D58DB">
            <w:pPr>
              <w:rPr>
                <w:lang w:val="en-GB"/>
              </w:rPr>
            </w:pPr>
            <w:r w:rsidRPr="005F4AB5">
              <w:t>D – Small sites (1-4 net dwellings) with  detailed planning permission</w:t>
            </w:r>
          </w:p>
        </w:tc>
        <w:tc>
          <w:tcPr>
            <w:tcW w:w="592" w:type="pct"/>
          </w:tcPr>
          <w:p w14:paraId="6F11FCE5" w14:textId="5AE59F17" w:rsidR="00E04472" w:rsidRPr="005F4AB5" w:rsidRDefault="00042BC6" w:rsidP="000D58DB">
            <w:pPr>
              <w:rPr>
                <w:lang w:val="en-GB"/>
              </w:rPr>
            </w:pPr>
            <w:r w:rsidRPr="005F4AB5">
              <w:rPr>
                <w:lang w:val="en-GB"/>
              </w:rPr>
              <w:t>36</w:t>
            </w:r>
          </w:p>
        </w:tc>
        <w:tc>
          <w:tcPr>
            <w:tcW w:w="586" w:type="pct"/>
          </w:tcPr>
          <w:p w14:paraId="201FC4D2" w14:textId="49384964" w:rsidR="00E04472" w:rsidRPr="005F4AB5" w:rsidRDefault="00042BC6" w:rsidP="000D58DB">
            <w:pPr>
              <w:rPr>
                <w:lang w:val="en-GB"/>
              </w:rPr>
            </w:pPr>
            <w:r w:rsidRPr="005F4AB5">
              <w:rPr>
                <w:lang w:val="en-GB"/>
              </w:rPr>
              <w:t>3</w:t>
            </w:r>
            <w:r w:rsidR="007B0673" w:rsidRPr="005F4AB5">
              <w:rPr>
                <w:lang w:val="en-GB"/>
              </w:rPr>
              <w:t>5</w:t>
            </w:r>
          </w:p>
        </w:tc>
        <w:tc>
          <w:tcPr>
            <w:tcW w:w="586" w:type="pct"/>
          </w:tcPr>
          <w:p w14:paraId="7DCE67DB" w14:textId="445DA9C6" w:rsidR="00E04472" w:rsidRPr="005F4AB5" w:rsidRDefault="00042BC6" w:rsidP="000D58DB">
            <w:pPr>
              <w:rPr>
                <w:lang w:val="en-GB"/>
              </w:rPr>
            </w:pPr>
            <w:r w:rsidRPr="005F4AB5">
              <w:rPr>
                <w:lang w:val="en-GB"/>
              </w:rPr>
              <w:t>0</w:t>
            </w:r>
          </w:p>
        </w:tc>
        <w:tc>
          <w:tcPr>
            <w:tcW w:w="588" w:type="pct"/>
          </w:tcPr>
          <w:p w14:paraId="20A9328C" w14:textId="5846F183" w:rsidR="00E04472" w:rsidRPr="005F4AB5" w:rsidDel="008D3C7E" w:rsidRDefault="00042BC6" w:rsidP="000D58DB">
            <w:r w:rsidRPr="005F4AB5">
              <w:t>0</w:t>
            </w:r>
          </w:p>
        </w:tc>
        <w:tc>
          <w:tcPr>
            <w:tcW w:w="589" w:type="pct"/>
          </w:tcPr>
          <w:p w14:paraId="58D05617" w14:textId="34AC0D9A" w:rsidR="00E04472" w:rsidRPr="005F4AB5" w:rsidRDefault="00042BC6" w:rsidP="000D58DB">
            <w:r w:rsidRPr="005F4AB5">
              <w:t>0</w:t>
            </w:r>
          </w:p>
        </w:tc>
        <w:tc>
          <w:tcPr>
            <w:tcW w:w="880" w:type="pct"/>
          </w:tcPr>
          <w:p w14:paraId="031997EB" w14:textId="77EE8B4C" w:rsidR="00E04472" w:rsidRPr="005F4AB5" w:rsidRDefault="00042BC6" w:rsidP="000D58DB">
            <w:r w:rsidRPr="005F4AB5">
              <w:t>7</w:t>
            </w:r>
            <w:r w:rsidR="007B0673" w:rsidRPr="005F4AB5">
              <w:t>1</w:t>
            </w:r>
          </w:p>
        </w:tc>
      </w:tr>
      <w:tr w:rsidR="00A34DD5" w:rsidRPr="005F4AB5" w14:paraId="3A871412" w14:textId="07E5D775" w:rsidTr="00CB1933">
        <w:trPr>
          <w:cantSplit/>
          <w:trHeight w:val="676"/>
        </w:trPr>
        <w:tc>
          <w:tcPr>
            <w:tcW w:w="1179" w:type="pct"/>
          </w:tcPr>
          <w:p w14:paraId="46821E1B" w14:textId="6D9C7C89" w:rsidR="00E04472" w:rsidRPr="005F4AB5" w:rsidRDefault="00E04472" w:rsidP="000D58DB">
            <w:pPr>
              <w:rPr>
                <w:lang w:val="en-GB"/>
              </w:rPr>
            </w:pPr>
            <w:r w:rsidRPr="005F4AB5">
              <w:t>E – Windfall allowance (1-4 net dwellings)</w:t>
            </w:r>
          </w:p>
        </w:tc>
        <w:tc>
          <w:tcPr>
            <w:tcW w:w="592" w:type="pct"/>
          </w:tcPr>
          <w:p w14:paraId="3EF9D1A6" w14:textId="425AF3BD" w:rsidR="00E04472" w:rsidRPr="005F4AB5" w:rsidRDefault="00042BC6" w:rsidP="000D58DB">
            <w:pPr>
              <w:rPr>
                <w:lang w:val="en-GB"/>
              </w:rPr>
            </w:pPr>
            <w:r w:rsidRPr="005F4AB5">
              <w:rPr>
                <w:lang w:val="en-GB"/>
              </w:rPr>
              <w:t>0</w:t>
            </w:r>
          </w:p>
        </w:tc>
        <w:tc>
          <w:tcPr>
            <w:tcW w:w="586" w:type="pct"/>
          </w:tcPr>
          <w:p w14:paraId="10ECB203" w14:textId="36457EF7" w:rsidR="00E04472" w:rsidRPr="005F4AB5" w:rsidRDefault="00042BC6" w:rsidP="000D58DB">
            <w:pPr>
              <w:rPr>
                <w:lang w:val="en-GB"/>
              </w:rPr>
            </w:pPr>
            <w:r w:rsidRPr="005F4AB5">
              <w:rPr>
                <w:lang w:val="en-GB"/>
              </w:rPr>
              <w:t>0</w:t>
            </w:r>
          </w:p>
        </w:tc>
        <w:tc>
          <w:tcPr>
            <w:tcW w:w="586" w:type="pct"/>
          </w:tcPr>
          <w:p w14:paraId="6375D55C" w14:textId="4D3705A5" w:rsidR="00E04472" w:rsidRPr="005F4AB5" w:rsidRDefault="00042BC6" w:rsidP="000D58DB">
            <w:r w:rsidRPr="005F4AB5">
              <w:t>42</w:t>
            </w:r>
          </w:p>
        </w:tc>
        <w:tc>
          <w:tcPr>
            <w:tcW w:w="588" w:type="pct"/>
          </w:tcPr>
          <w:p w14:paraId="5689C345" w14:textId="06A0D1A8" w:rsidR="00E04472" w:rsidRPr="005F4AB5" w:rsidDel="008D3C7E" w:rsidRDefault="00042BC6" w:rsidP="000D58DB">
            <w:r w:rsidRPr="005F4AB5">
              <w:t>42</w:t>
            </w:r>
          </w:p>
        </w:tc>
        <w:tc>
          <w:tcPr>
            <w:tcW w:w="589" w:type="pct"/>
          </w:tcPr>
          <w:p w14:paraId="1313F26A" w14:textId="775A2760" w:rsidR="00E04472" w:rsidRPr="005F4AB5" w:rsidRDefault="00042BC6" w:rsidP="000D58DB">
            <w:r w:rsidRPr="005F4AB5">
              <w:t>42</w:t>
            </w:r>
          </w:p>
        </w:tc>
        <w:tc>
          <w:tcPr>
            <w:tcW w:w="880" w:type="pct"/>
          </w:tcPr>
          <w:p w14:paraId="1787691E" w14:textId="6F7BCEC8" w:rsidR="00E04472" w:rsidRPr="005F4AB5" w:rsidRDefault="00042BC6" w:rsidP="000D58DB">
            <w:r w:rsidRPr="005F4AB5">
              <w:t>126</w:t>
            </w:r>
          </w:p>
        </w:tc>
      </w:tr>
      <w:tr w:rsidR="00A34DD5" w:rsidRPr="005F4AB5" w14:paraId="1FE459EB" w14:textId="77777777" w:rsidTr="00CB1933">
        <w:trPr>
          <w:cantSplit/>
          <w:trHeight w:val="535"/>
        </w:trPr>
        <w:tc>
          <w:tcPr>
            <w:tcW w:w="1179" w:type="pct"/>
          </w:tcPr>
          <w:p w14:paraId="2369AEC0" w14:textId="26306DC5" w:rsidR="00E04472" w:rsidRPr="005F4AB5" w:rsidRDefault="00E04472" w:rsidP="000D58DB">
            <w:r w:rsidRPr="005F4AB5">
              <w:t xml:space="preserve">F – </w:t>
            </w:r>
            <w:r w:rsidR="0037636C" w:rsidRPr="005F4AB5">
              <w:t xml:space="preserve">Gloucester City </w:t>
            </w:r>
            <w:r w:rsidRPr="005F4AB5">
              <w:t xml:space="preserve"> Plan Allocations that do not otherwise have planning permission </w:t>
            </w:r>
          </w:p>
        </w:tc>
        <w:tc>
          <w:tcPr>
            <w:tcW w:w="592" w:type="pct"/>
          </w:tcPr>
          <w:p w14:paraId="48130427" w14:textId="6274C14B" w:rsidR="00E04472" w:rsidRPr="005F4AB5" w:rsidRDefault="00BC7589" w:rsidP="000D58DB">
            <w:pPr>
              <w:rPr>
                <w:lang w:val="en-GB"/>
              </w:rPr>
            </w:pPr>
            <w:r w:rsidRPr="005F4AB5">
              <w:rPr>
                <w:lang w:val="en-GB"/>
              </w:rPr>
              <w:t>0</w:t>
            </w:r>
          </w:p>
        </w:tc>
        <w:tc>
          <w:tcPr>
            <w:tcW w:w="586" w:type="pct"/>
          </w:tcPr>
          <w:p w14:paraId="1C93348C" w14:textId="3428538E" w:rsidR="00E04472" w:rsidRPr="005F4AB5" w:rsidRDefault="00BC7589" w:rsidP="000D58DB">
            <w:pPr>
              <w:rPr>
                <w:lang w:val="en-GB"/>
              </w:rPr>
            </w:pPr>
            <w:r w:rsidRPr="005F4AB5">
              <w:rPr>
                <w:lang w:val="en-GB"/>
              </w:rPr>
              <w:t>0</w:t>
            </w:r>
          </w:p>
        </w:tc>
        <w:tc>
          <w:tcPr>
            <w:tcW w:w="586" w:type="pct"/>
          </w:tcPr>
          <w:p w14:paraId="5653934F" w14:textId="2DC96A3A" w:rsidR="00E04472" w:rsidRPr="005F4AB5" w:rsidRDefault="00BC7589" w:rsidP="000D58DB">
            <w:pPr>
              <w:rPr>
                <w:lang w:val="en-GB"/>
              </w:rPr>
            </w:pPr>
            <w:r w:rsidRPr="005F4AB5">
              <w:rPr>
                <w:lang w:val="en-GB"/>
              </w:rPr>
              <w:t>55</w:t>
            </w:r>
          </w:p>
        </w:tc>
        <w:tc>
          <w:tcPr>
            <w:tcW w:w="588" w:type="pct"/>
          </w:tcPr>
          <w:p w14:paraId="5F471D3B" w14:textId="718E1A13" w:rsidR="00E04472" w:rsidRPr="005F4AB5" w:rsidDel="008D3C7E" w:rsidRDefault="00BC7589" w:rsidP="000D58DB">
            <w:r w:rsidRPr="005F4AB5">
              <w:t>134</w:t>
            </w:r>
          </w:p>
        </w:tc>
        <w:tc>
          <w:tcPr>
            <w:tcW w:w="589" w:type="pct"/>
          </w:tcPr>
          <w:p w14:paraId="745C1FD9" w14:textId="4006F0FD" w:rsidR="00E04472" w:rsidRPr="005F4AB5" w:rsidRDefault="00BC7589" w:rsidP="000D58DB">
            <w:r w:rsidRPr="005F4AB5">
              <w:t>84</w:t>
            </w:r>
          </w:p>
        </w:tc>
        <w:tc>
          <w:tcPr>
            <w:tcW w:w="880" w:type="pct"/>
          </w:tcPr>
          <w:p w14:paraId="463950FA" w14:textId="53724A88" w:rsidR="00E04472" w:rsidRPr="005F4AB5" w:rsidRDefault="00BC7589" w:rsidP="000D58DB">
            <w:r w:rsidRPr="005F4AB5">
              <w:t>273</w:t>
            </w:r>
          </w:p>
        </w:tc>
      </w:tr>
      <w:tr w:rsidR="00A34DD5" w:rsidRPr="005F4AB5" w14:paraId="2F525D0E" w14:textId="77777777" w:rsidTr="00CB1933">
        <w:trPr>
          <w:cantSplit/>
          <w:trHeight w:val="415"/>
        </w:trPr>
        <w:tc>
          <w:tcPr>
            <w:tcW w:w="1179" w:type="pct"/>
          </w:tcPr>
          <w:p w14:paraId="165A50B5" w14:textId="773BFAF1" w:rsidR="00E04472" w:rsidRPr="005F4AB5" w:rsidRDefault="00E04472" w:rsidP="005C3D2F">
            <w:r w:rsidRPr="005F4AB5">
              <w:t>G – JCS Allocations (</w:t>
            </w:r>
            <w:r w:rsidR="0037636C" w:rsidRPr="005F4AB5">
              <w:t>Meeting Gloucester’s need)</w:t>
            </w:r>
            <w:r w:rsidR="005C3D2F" w:rsidRPr="005F4AB5">
              <w:t>*</w:t>
            </w:r>
            <w:r w:rsidR="0037636C" w:rsidRPr="005F4AB5">
              <w:t xml:space="preserve"> </w:t>
            </w:r>
          </w:p>
        </w:tc>
        <w:tc>
          <w:tcPr>
            <w:tcW w:w="592" w:type="pct"/>
          </w:tcPr>
          <w:p w14:paraId="4F9DF4A7" w14:textId="4FB15567" w:rsidR="00E04472" w:rsidRPr="005F4AB5" w:rsidRDefault="003D0A8A" w:rsidP="000D58DB">
            <w:pPr>
              <w:rPr>
                <w:lang w:val="en-GB"/>
              </w:rPr>
            </w:pPr>
            <w:r w:rsidRPr="005F4AB5">
              <w:rPr>
                <w:lang w:val="en-GB"/>
              </w:rPr>
              <w:t>258</w:t>
            </w:r>
          </w:p>
        </w:tc>
        <w:tc>
          <w:tcPr>
            <w:tcW w:w="586" w:type="pct"/>
          </w:tcPr>
          <w:p w14:paraId="79BF8075" w14:textId="65872C83" w:rsidR="00E04472" w:rsidRPr="005F4AB5" w:rsidRDefault="003D0A8A" w:rsidP="000D58DB">
            <w:pPr>
              <w:rPr>
                <w:lang w:val="en-GB"/>
              </w:rPr>
            </w:pPr>
            <w:r w:rsidRPr="005F4AB5">
              <w:rPr>
                <w:lang w:val="en-GB"/>
              </w:rPr>
              <w:t>206</w:t>
            </w:r>
          </w:p>
        </w:tc>
        <w:tc>
          <w:tcPr>
            <w:tcW w:w="586" w:type="pct"/>
          </w:tcPr>
          <w:p w14:paraId="42B007E2" w14:textId="2A4E6548" w:rsidR="00E04472" w:rsidRPr="005F4AB5" w:rsidRDefault="003D0A8A" w:rsidP="000D58DB">
            <w:pPr>
              <w:rPr>
                <w:lang w:val="en-GB"/>
              </w:rPr>
            </w:pPr>
            <w:r w:rsidRPr="005F4AB5">
              <w:rPr>
                <w:lang w:val="en-GB"/>
              </w:rPr>
              <w:t>170</w:t>
            </w:r>
          </w:p>
        </w:tc>
        <w:tc>
          <w:tcPr>
            <w:tcW w:w="588" w:type="pct"/>
          </w:tcPr>
          <w:p w14:paraId="762B3AD8" w14:textId="66A6BCFD" w:rsidR="00E04472" w:rsidRPr="005F4AB5" w:rsidDel="008D3C7E" w:rsidRDefault="003D0A8A" w:rsidP="000D58DB">
            <w:pPr>
              <w:rPr>
                <w:lang w:val="en-GB"/>
              </w:rPr>
            </w:pPr>
            <w:r w:rsidRPr="005F4AB5">
              <w:rPr>
                <w:lang w:val="en-GB"/>
              </w:rPr>
              <w:t>49</w:t>
            </w:r>
          </w:p>
        </w:tc>
        <w:tc>
          <w:tcPr>
            <w:tcW w:w="589" w:type="pct"/>
          </w:tcPr>
          <w:p w14:paraId="38AFFF81" w14:textId="001EB26E" w:rsidR="00E04472" w:rsidRPr="005F4AB5" w:rsidRDefault="003D0A8A" w:rsidP="000D58DB">
            <w:pPr>
              <w:rPr>
                <w:lang w:val="en-GB"/>
              </w:rPr>
            </w:pPr>
            <w:r w:rsidRPr="005F4AB5">
              <w:rPr>
                <w:lang w:val="en-GB"/>
              </w:rPr>
              <w:t>49</w:t>
            </w:r>
          </w:p>
        </w:tc>
        <w:tc>
          <w:tcPr>
            <w:tcW w:w="880" w:type="pct"/>
          </w:tcPr>
          <w:p w14:paraId="737D7730" w14:textId="1200BF9D" w:rsidR="00E04472" w:rsidRPr="005F4AB5" w:rsidRDefault="003D0A8A" w:rsidP="000D58DB">
            <w:pPr>
              <w:rPr>
                <w:lang w:val="en-GB"/>
              </w:rPr>
            </w:pPr>
            <w:r w:rsidRPr="005F4AB5">
              <w:rPr>
                <w:lang w:val="en-GB"/>
              </w:rPr>
              <w:t>732</w:t>
            </w:r>
          </w:p>
        </w:tc>
      </w:tr>
      <w:tr w:rsidR="00A34DD5" w:rsidRPr="005F4AB5" w14:paraId="6D9170DB" w14:textId="77777777" w:rsidTr="00CB1933">
        <w:trPr>
          <w:cantSplit/>
          <w:trHeight w:val="349"/>
        </w:trPr>
        <w:tc>
          <w:tcPr>
            <w:tcW w:w="1179" w:type="pct"/>
          </w:tcPr>
          <w:p w14:paraId="748F18CB" w14:textId="458DE000" w:rsidR="00E04472" w:rsidRPr="005F4AB5" w:rsidRDefault="00E04472" w:rsidP="000D58DB">
            <w:r w:rsidRPr="005F4AB5">
              <w:t xml:space="preserve">Totals (excluding </w:t>
            </w:r>
            <w:r w:rsidR="006B5129" w:rsidRPr="005F4AB5">
              <w:t xml:space="preserve">the </w:t>
            </w:r>
            <w:r w:rsidRPr="005F4AB5">
              <w:t xml:space="preserve">lapse rate for small sites not started) </w:t>
            </w:r>
          </w:p>
        </w:tc>
        <w:tc>
          <w:tcPr>
            <w:tcW w:w="592" w:type="pct"/>
          </w:tcPr>
          <w:p w14:paraId="60E35038" w14:textId="4C593979" w:rsidR="00E04472" w:rsidRPr="005F4AB5" w:rsidRDefault="003D0A8A" w:rsidP="000D58DB">
            <w:pPr>
              <w:rPr>
                <w:lang w:val="en-GB"/>
              </w:rPr>
            </w:pPr>
            <w:r w:rsidRPr="005F4AB5">
              <w:rPr>
                <w:lang w:val="en-GB"/>
              </w:rPr>
              <w:t>512</w:t>
            </w:r>
          </w:p>
        </w:tc>
        <w:tc>
          <w:tcPr>
            <w:tcW w:w="586" w:type="pct"/>
          </w:tcPr>
          <w:p w14:paraId="0B896244" w14:textId="59375B45" w:rsidR="00E04472" w:rsidRPr="005F4AB5" w:rsidRDefault="003D0A8A" w:rsidP="000D58DB">
            <w:pPr>
              <w:rPr>
                <w:lang w:val="en-GB"/>
              </w:rPr>
            </w:pPr>
            <w:r w:rsidRPr="005F4AB5">
              <w:rPr>
                <w:lang w:val="en-GB"/>
              </w:rPr>
              <w:t>46</w:t>
            </w:r>
            <w:r w:rsidR="00F76E31" w:rsidRPr="005F4AB5">
              <w:rPr>
                <w:lang w:val="en-GB"/>
              </w:rPr>
              <w:t>4</w:t>
            </w:r>
          </w:p>
        </w:tc>
        <w:tc>
          <w:tcPr>
            <w:tcW w:w="586" w:type="pct"/>
          </w:tcPr>
          <w:p w14:paraId="308B9017" w14:textId="53162184" w:rsidR="00E04472" w:rsidRPr="00A1266B" w:rsidRDefault="003D0A8A" w:rsidP="000D58DB">
            <w:pPr>
              <w:rPr>
                <w:lang w:val="en-GB"/>
              </w:rPr>
            </w:pPr>
            <w:r w:rsidRPr="00A1266B">
              <w:rPr>
                <w:lang w:val="en-GB"/>
              </w:rPr>
              <w:t>4</w:t>
            </w:r>
            <w:r w:rsidR="00D822F0" w:rsidRPr="00A1266B">
              <w:rPr>
                <w:lang w:val="en-GB"/>
              </w:rPr>
              <w:t>79</w:t>
            </w:r>
          </w:p>
        </w:tc>
        <w:tc>
          <w:tcPr>
            <w:tcW w:w="588" w:type="pct"/>
          </w:tcPr>
          <w:p w14:paraId="0868981C" w14:textId="4D7CEF8F" w:rsidR="00E04472" w:rsidRPr="00A1266B" w:rsidDel="008D3C7E" w:rsidRDefault="003F0845" w:rsidP="000D58DB">
            <w:pPr>
              <w:rPr>
                <w:lang w:val="en-GB"/>
              </w:rPr>
            </w:pPr>
            <w:r w:rsidRPr="00A1266B">
              <w:rPr>
                <w:lang w:val="en-GB"/>
              </w:rPr>
              <w:t>445</w:t>
            </w:r>
          </w:p>
        </w:tc>
        <w:tc>
          <w:tcPr>
            <w:tcW w:w="589" w:type="pct"/>
          </w:tcPr>
          <w:p w14:paraId="6FD3CFEA" w14:textId="53705B4C" w:rsidR="00E04472" w:rsidRPr="005F4AB5" w:rsidRDefault="003D0A8A" w:rsidP="000D58DB">
            <w:pPr>
              <w:rPr>
                <w:lang w:val="en-GB"/>
              </w:rPr>
            </w:pPr>
            <w:r w:rsidRPr="005F4AB5">
              <w:rPr>
                <w:lang w:val="en-GB"/>
              </w:rPr>
              <w:t>3</w:t>
            </w:r>
            <w:r w:rsidR="003F0845">
              <w:rPr>
                <w:lang w:val="en-GB"/>
              </w:rPr>
              <w:t>92</w:t>
            </w:r>
          </w:p>
        </w:tc>
        <w:tc>
          <w:tcPr>
            <w:tcW w:w="880" w:type="pct"/>
          </w:tcPr>
          <w:p w14:paraId="75237D79" w14:textId="5207F7C6" w:rsidR="00E04472" w:rsidRPr="005F4AB5" w:rsidRDefault="003D0A8A" w:rsidP="000D58DB">
            <w:pPr>
              <w:rPr>
                <w:lang w:val="en-GB"/>
              </w:rPr>
            </w:pPr>
            <w:r w:rsidRPr="005F4AB5">
              <w:rPr>
                <w:lang w:val="en-GB"/>
              </w:rPr>
              <w:t>2,</w:t>
            </w:r>
            <w:r w:rsidR="0018245F">
              <w:rPr>
                <w:lang w:val="en-GB"/>
              </w:rPr>
              <w:t>292</w:t>
            </w:r>
          </w:p>
        </w:tc>
      </w:tr>
      <w:tr w:rsidR="005C3D2F" w:rsidRPr="005F4AB5" w14:paraId="5A1EDE22" w14:textId="77777777" w:rsidTr="005C3D2F">
        <w:trPr>
          <w:cantSplit/>
          <w:trHeight w:val="349"/>
        </w:trPr>
        <w:tc>
          <w:tcPr>
            <w:tcW w:w="5000" w:type="pct"/>
            <w:gridSpan w:val="7"/>
          </w:tcPr>
          <w:p w14:paraId="19FEAC26" w14:textId="6EFEAB85" w:rsidR="005C3D2F" w:rsidRPr="005F4AB5" w:rsidRDefault="005C3D2F" w:rsidP="000D58DB">
            <w:pPr>
              <w:rPr>
                <w:sz w:val="20"/>
                <w:szCs w:val="20"/>
                <w:lang w:val="en-GB"/>
              </w:rPr>
            </w:pPr>
            <w:r w:rsidRPr="005F4AB5">
              <w:rPr>
                <w:sz w:val="20"/>
                <w:szCs w:val="20"/>
              </w:rPr>
              <w:t xml:space="preserve">*Note: </w:t>
            </w:r>
            <w:r w:rsidR="00737AFE" w:rsidRPr="005F4AB5">
              <w:rPr>
                <w:sz w:val="20"/>
                <w:szCs w:val="20"/>
              </w:rPr>
              <w:t xml:space="preserve">Some </w:t>
            </w:r>
            <w:r w:rsidRPr="005F4AB5">
              <w:rPr>
                <w:sz w:val="20"/>
                <w:szCs w:val="20"/>
              </w:rPr>
              <w:t xml:space="preserve">Strategic Allocations without detailed permission </w:t>
            </w:r>
            <w:r w:rsidR="00737AFE" w:rsidRPr="005F4AB5">
              <w:rPr>
                <w:sz w:val="20"/>
                <w:szCs w:val="20"/>
              </w:rPr>
              <w:t xml:space="preserve">could potentially deliver some dwelling within the five year period but this is not certain and so a conservative approach has been taken and these </w:t>
            </w:r>
            <w:r w:rsidR="008C49E6" w:rsidRPr="005F4AB5">
              <w:rPr>
                <w:sz w:val="20"/>
                <w:szCs w:val="20"/>
              </w:rPr>
              <w:t xml:space="preserve">particular </w:t>
            </w:r>
            <w:r w:rsidR="00737AFE" w:rsidRPr="005F4AB5">
              <w:rPr>
                <w:sz w:val="20"/>
                <w:szCs w:val="20"/>
              </w:rPr>
              <w:t xml:space="preserve">parcels </w:t>
            </w:r>
            <w:r w:rsidRPr="005F4AB5">
              <w:rPr>
                <w:sz w:val="20"/>
                <w:szCs w:val="20"/>
              </w:rPr>
              <w:t xml:space="preserve">are </w:t>
            </w:r>
            <w:r w:rsidR="008C49E6" w:rsidRPr="005F4AB5">
              <w:rPr>
                <w:sz w:val="20"/>
                <w:szCs w:val="20"/>
              </w:rPr>
              <w:t xml:space="preserve">not included in the supply at this point in time. </w:t>
            </w:r>
            <w:r w:rsidRPr="005F4AB5">
              <w:rPr>
                <w:sz w:val="20"/>
                <w:szCs w:val="20"/>
              </w:rPr>
              <w:t xml:space="preserve">  </w:t>
            </w:r>
          </w:p>
        </w:tc>
      </w:tr>
      <w:bookmarkEnd w:id="72"/>
    </w:tbl>
    <w:p w14:paraId="641C91B3" w14:textId="77777777" w:rsidR="00542ABF" w:rsidRPr="005F4AB5" w:rsidRDefault="00542ABF" w:rsidP="000D58DB">
      <w:pPr>
        <w:pStyle w:val="ListParagraph"/>
        <w:widowControl/>
        <w:autoSpaceDE/>
        <w:autoSpaceDN/>
        <w:spacing w:line="276" w:lineRule="auto"/>
        <w:ind w:left="720" w:firstLine="0"/>
        <w:jc w:val="left"/>
        <w:rPr>
          <w:rFonts w:asciiTheme="minorHAnsi" w:eastAsiaTheme="minorEastAsia" w:hAnsiTheme="minorHAnsi" w:cstheme="minorHAnsi"/>
          <w:lang w:eastAsia="ja-JP"/>
        </w:rPr>
      </w:pPr>
    </w:p>
    <w:p w14:paraId="17F476B6" w14:textId="0A9A2A2C" w:rsidR="00383F74" w:rsidRPr="005F4AB5" w:rsidRDefault="006761F1" w:rsidP="000D58DB">
      <w:pPr>
        <w:pStyle w:val="ListParagraph"/>
        <w:widowControl/>
        <w:numPr>
          <w:ilvl w:val="1"/>
          <w:numId w:val="7"/>
        </w:numPr>
        <w:autoSpaceDE/>
        <w:autoSpaceDN/>
        <w:spacing w:line="276" w:lineRule="auto"/>
        <w:ind w:hanging="720"/>
        <w:jc w:val="left"/>
      </w:pPr>
      <w:r w:rsidRPr="005F4AB5">
        <w:t xml:space="preserve">Further information and detailed trajectories for the sites within categories A to G is provided within </w:t>
      </w:r>
      <w:r w:rsidR="008B1431" w:rsidRPr="005F4AB5">
        <w:rPr>
          <w:b/>
          <w:bCs/>
        </w:rPr>
        <w:fldChar w:fldCharType="begin"/>
      </w:r>
      <w:r w:rsidR="008B1431" w:rsidRPr="005F4AB5">
        <w:rPr>
          <w:b/>
          <w:bCs/>
        </w:rPr>
        <w:instrText xml:space="preserve"> REF _Ref177636268 \h </w:instrText>
      </w:r>
      <w:r w:rsidR="000D58DB" w:rsidRPr="005F4AB5">
        <w:rPr>
          <w:b/>
          <w:bCs/>
        </w:rPr>
        <w:instrText xml:space="preserve"> \* MERGEFORMAT </w:instrText>
      </w:r>
      <w:r w:rsidR="008B1431" w:rsidRPr="005F4AB5">
        <w:rPr>
          <w:b/>
          <w:bCs/>
        </w:rPr>
      </w:r>
      <w:r w:rsidR="008B1431" w:rsidRPr="005F4AB5">
        <w:rPr>
          <w:b/>
          <w:bCs/>
        </w:rPr>
        <w:fldChar w:fldCharType="separate"/>
      </w:r>
      <w:r w:rsidR="00033F80" w:rsidRPr="00033F80">
        <w:rPr>
          <w:rFonts w:asciiTheme="minorHAnsi" w:eastAsiaTheme="minorEastAsia" w:hAnsiTheme="minorHAnsi" w:cstheme="minorHAnsi"/>
          <w:b/>
          <w:bCs/>
          <w:lang w:eastAsia="ja-JP"/>
        </w:rPr>
        <w:t xml:space="preserve">Appendix 2: All Sites </w:t>
      </w:r>
      <w:r w:rsidR="008B1431" w:rsidRPr="005F4AB5">
        <w:rPr>
          <w:b/>
          <w:bCs/>
        </w:rPr>
        <w:fldChar w:fldCharType="end"/>
      </w:r>
      <w:r w:rsidR="008C49E6" w:rsidRPr="005F4AB5">
        <w:t xml:space="preserve">Further details on sites are contained in the latest version of Gloucester City’s Housing Monitoring Report at: </w:t>
      </w:r>
    </w:p>
    <w:p w14:paraId="78A98BDD" w14:textId="487EE5A7" w:rsidR="008C49E6" w:rsidRPr="005F4AB5" w:rsidRDefault="008C49E6" w:rsidP="008C49E6">
      <w:pPr>
        <w:pStyle w:val="ListParagraph"/>
        <w:widowControl/>
        <w:autoSpaceDE/>
        <w:autoSpaceDN/>
        <w:spacing w:line="276" w:lineRule="auto"/>
        <w:ind w:left="643" w:firstLine="0"/>
        <w:jc w:val="left"/>
      </w:pPr>
      <w:hyperlink r:id="rId19" w:history="1">
        <w:r w:rsidRPr="005F4AB5">
          <w:rPr>
            <w:rStyle w:val="Hyperlink"/>
          </w:rPr>
          <w:t>Monitoring &amp; Five Year Housing Land Supply | Gloucester City Council</w:t>
        </w:r>
      </w:hyperlink>
    </w:p>
    <w:p w14:paraId="11DB2C6B" w14:textId="77777777" w:rsidR="006761F1" w:rsidRPr="005F4AB5" w:rsidRDefault="006761F1" w:rsidP="000D58DB">
      <w:pPr>
        <w:pStyle w:val="ListParagraph"/>
        <w:widowControl/>
        <w:autoSpaceDE/>
        <w:autoSpaceDN/>
        <w:spacing w:line="276" w:lineRule="auto"/>
        <w:ind w:left="720" w:firstLine="0"/>
        <w:jc w:val="left"/>
      </w:pPr>
    </w:p>
    <w:p w14:paraId="47AC2A27" w14:textId="57A38F3C" w:rsidR="0020780A" w:rsidRPr="005F4AB5" w:rsidRDefault="0020780A" w:rsidP="000D58DB">
      <w:pPr>
        <w:pStyle w:val="ListParagraph"/>
        <w:widowControl/>
        <w:numPr>
          <w:ilvl w:val="1"/>
          <w:numId w:val="7"/>
        </w:numPr>
        <w:autoSpaceDE/>
        <w:autoSpaceDN/>
        <w:spacing w:line="276" w:lineRule="auto"/>
        <w:ind w:hanging="720"/>
        <w:jc w:val="left"/>
      </w:pPr>
      <w:r w:rsidRPr="005F4AB5">
        <w:t>To inform the assessment of housing delivery, Officers have reviewed</w:t>
      </w:r>
      <w:r w:rsidRPr="005F4AB5">
        <w:rPr>
          <w:spacing w:val="-5"/>
        </w:rPr>
        <w:t xml:space="preserve"> </w:t>
      </w:r>
      <w:r w:rsidRPr="005F4AB5">
        <w:t>and</w:t>
      </w:r>
      <w:r w:rsidRPr="005F4AB5">
        <w:rPr>
          <w:spacing w:val="-5"/>
        </w:rPr>
        <w:t xml:space="preserve"> </w:t>
      </w:r>
      <w:r w:rsidRPr="005F4AB5">
        <w:t>updated</w:t>
      </w:r>
      <w:r w:rsidRPr="005F4AB5">
        <w:rPr>
          <w:spacing w:val="-6"/>
        </w:rPr>
        <w:t xml:space="preserve"> </w:t>
      </w:r>
      <w:r w:rsidRPr="005F4AB5">
        <w:t>the</w:t>
      </w:r>
      <w:r w:rsidRPr="005F4AB5">
        <w:rPr>
          <w:spacing w:val="-6"/>
        </w:rPr>
        <w:t xml:space="preserve"> </w:t>
      </w:r>
      <w:r w:rsidRPr="005F4AB5">
        <w:t>previous</w:t>
      </w:r>
      <w:r w:rsidRPr="005F4AB5">
        <w:rPr>
          <w:spacing w:val="-4"/>
        </w:rPr>
        <w:t xml:space="preserve"> </w:t>
      </w:r>
      <w:r w:rsidRPr="005F4AB5">
        <w:t>assessment</w:t>
      </w:r>
      <w:r w:rsidRPr="005F4AB5">
        <w:rPr>
          <w:spacing w:val="-6"/>
        </w:rPr>
        <w:t xml:space="preserve"> </w:t>
      </w:r>
      <w:r w:rsidRPr="005F4AB5">
        <w:t>process</w:t>
      </w:r>
      <w:r w:rsidRPr="005F4AB5">
        <w:rPr>
          <w:spacing w:val="-3"/>
        </w:rPr>
        <w:t xml:space="preserve"> </w:t>
      </w:r>
      <w:r w:rsidRPr="005F4AB5">
        <w:t>undertaken</w:t>
      </w:r>
      <w:r w:rsidR="005D3804" w:rsidRPr="005F4AB5">
        <w:t xml:space="preserve"> </w:t>
      </w:r>
      <w:r w:rsidRPr="005F4AB5">
        <w:rPr>
          <w:spacing w:val="-59"/>
        </w:rPr>
        <w:t xml:space="preserve">  </w:t>
      </w:r>
      <w:r w:rsidRPr="005F4AB5">
        <w:t>to ensure a robust forecast of</w:t>
      </w:r>
      <w:r w:rsidRPr="005F4AB5">
        <w:rPr>
          <w:spacing w:val="1"/>
        </w:rPr>
        <w:t xml:space="preserve"> </w:t>
      </w:r>
      <w:r w:rsidRPr="005F4AB5">
        <w:t xml:space="preserve">delivery is made. </w:t>
      </w:r>
      <w:r w:rsidR="006520AC" w:rsidRPr="005F4AB5">
        <w:t>All planning permission</w:t>
      </w:r>
      <w:r w:rsidR="004864FB" w:rsidRPr="005F4AB5">
        <w:t>s</w:t>
      </w:r>
      <w:r w:rsidR="006520AC" w:rsidRPr="005F4AB5">
        <w:t xml:space="preserve"> have been assessed in terms of their status as of 31</w:t>
      </w:r>
      <w:r w:rsidR="006520AC" w:rsidRPr="005F4AB5">
        <w:rPr>
          <w:vertAlign w:val="superscript"/>
        </w:rPr>
        <w:t>st</w:t>
      </w:r>
      <w:r w:rsidR="006520AC" w:rsidRPr="005F4AB5">
        <w:t xml:space="preserve"> March </w:t>
      </w:r>
      <w:r w:rsidR="00333E40" w:rsidRPr="005F4AB5">
        <w:t>2025</w:t>
      </w:r>
      <w:r w:rsidR="006520AC" w:rsidRPr="005F4AB5">
        <w:t>. Officer</w:t>
      </w:r>
      <w:r w:rsidR="00E9301E" w:rsidRPr="005F4AB5">
        <w:t>s</w:t>
      </w:r>
      <w:r w:rsidR="006520AC" w:rsidRPr="005F4AB5">
        <w:t xml:space="preserve"> have recorded starts, dwellings under construction, </w:t>
      </w:r>
      <w:r w:rsidR="00C756C3" w:rsidRPr="005F4AB5">
        <w:t>completions,</w:t>
      </w:r>
      <w:r w:rsidR="006520AC" w:rsidRPr="005F4AB5">
        <w:t xml:space="preserve"> and outstanding commitments. </w:t>
      </w:r>
      <w:r w:rsidR="001A0254" w:rsidRPr="005F4AB5">
        <w:t xml:space="preserve">Sites have been monitored against a desk-top assessment </w:t>
      </w:r>
      <w:r w:rsidR="00D17151" w:rsidRPr="005F4AB5">
        <w:t xml:space="preserve">and site visits. </w:t>
      </w:r>
      <w:r w:rsidR="00923948" w:rsidRPr="005F4AB5">
        <w:t xml:space="preserve"> </w:t>
      </w:r>
    </w:p>
    <w:p w14:paraId="60DE74D0" w14:textId="77777777" w:rsidR="00923948" w:rsidRPr="005F4AB5" w:rsidRDefault="00923948" w:rsidP="000D58DB">
      <w:pPr>
        <w:widowControl/>
        <w:autoSpaceDE/>
        <w:autoSpaceDN/>
        <w:spacing w:line="276" w:lineRule="auto"/>
      </w:pPr>
    </w:p>
    <w:p w14:paraId="48BC3348" w14:textId="042E31B1" w:rsidR="00923948" w:rsidRPr="005F4AB5" w:rsidRDefault="00D17151" w:rsidP="000D58DB">
      <w:pPr>
        <w:pStyle w:val="ListParagraph"/>
        <w:widowControl/>
        <w:numPr>
          <w:ilvl w:val="1"/>
          <w:numId w:val="7"/>
        </w:numPr>
        <w:autoSpaceDE/>
        <w:autoSpaceDN/>
        <w:spacing w:line="276" w:lineRule="auto"/>
        <w:ind w:hanging="720"/>
        <w:jc w:val="left"/>
      </w:pPr>
      <w:r w:rsidRPr="005F4AB5">
        <w:t xml:space="preserve">Where necessary larger site </w:t>
      </w:r>
      <w:r w:rsidR="00923948" w:rsidRPr="005F4AB5">
        <w:t xml:space="preserve">promoters, </w:t>
      </w:r>
      <w:r w:rsidR="004073F2" w:rsidRPr="005F4AB5">
        <w:t>developers,</w:t>
      </w:r>
      <w:r w:rsidR="00923948" w:rsidRPr="005F4AB5">
        <w:t xml:space="preserve"> and landowners </w:t>
      </w:r>
      <w:r w:rsidRPr="005F4AB5">
        <w:t xml:space="preserve">have been </w:t>
      </w:r>
      <w:r w:rsidR="00383F74" w:rsidRPr="005F4AB5">
        <w:t xml:space="preserve">contacted to </w:t>
      </w:r>
      <w:r w:rsidRPr="005F4AB5">
        <w:t xml:space="preserve">ascertain future site </w:t>
      </w:r>
      <w:r w:rsidR="00383F74" w:rsidRPr="005F4AB5">
        <w:t>delivery.</w:t>
      </w:r>
    </w:p>
    <w:p w14:paraId="25A4DD71" w14:textId="77777777" w:rsidR="00E9301E" w:rsidRPr="005F4AB5" w:rsidRDefault="00E9301E" w:rsidP="000D58DB">
      <w:pPr>
        <w:pStyle w:val="ListParagraph"/>
        <w:jc w:val="left"/>
      </w:pPr>
    </w:p>
    <w:p w14:paraId="6A8FB1CC" w14:textId="20389D9F" w:rsidR="00E9301E" w:rsidRPr="005F4AB5" w:rsidRDefault="00E9301E" w:rsidP="000D58DB">
      <w:pPr>
        <w:pStyle w:val="ListParagraph"/>
        <w:widowControl/>
        <w:numPr>
          <w:ilvl w:val="1"/>
          <w:numId w:val="7"/>
        </w:numPr>
        <w:autoSpaceDE/>
        <w:autoSpaceDN/>
        <w:spacing w:line="276" w:lineRule="auto"/>
        <w:ind w:hanging="720"/>
        <w:jc w:val="left"/>
      </w:pPr>
      <w:r w:rsidRPr="005F4AB5">
        <w:t xml:space="preserve">Where officers did not contact </w:t>
      </w:r>
      <w:r w:rsidR="00FA7420" w:rsidRPr="005F4AB5">
        <w:t xml:space="preserve">the </w:t>
      </w:r>
      <w:r w:rsidRPr="005F4AB5">
        <w:t>relevant site promoters or developers, starts and delivery rate</w:t>
      </w:r>
      <w:r w:rsidR="00FA7420" w:rsidRPr="005F4AB5">
        <w:t>s</w:t>
      </w:r>
      <w:r w:rsidRPr="005F4AB5">
        <w:t xml:space="preserve"> were assessed on the basis of industry norms namely</w:t>
      </w:r>
      <w:r w:rsidR="00FA7420" w:rsidRPr="005F4AB5">
        <w:t xml:space="preserve"> those laid out in </w:t>
      </w:r>
      <w:hyperlink r:id="rId20" w:anchor="contents" w:history="1">
        <w:r w:rsidR="00FA7420" w:rsidRPr="005F4AB5">
          <w:rPr>
            <w:rStyle w:val="Hyperlink"/>
            <w:color w:val="auto"/>
          </w:rPr>
          <w:t>Lichfield’s Start to Finish Report</w:t>
        </w:r>
      </w:hyperlink>
      <w:r w:rsidR="00FA7420" w:rsidRPr="005F4AB5">
        <w:t xml:space="preserve"> (3</w:t>
      </w:r>
      <w:r w:rsidR="00FA7420" w:rsidRPr="005F4AB5">
        <w:rPr>
          <w:vertAlign w:val="superscript"/>
        </w:rPr>
        <w:t>rd</w:t>
      </w:r>
      <w:r w:rsidR="00FA7420" w:rsidRPr="005F4AB5">
        <w:t xml:space="preserve"> Edition, 20</w:t>
      </w:r>
      <w:r w:rsidR="00A3655B" w:rsidRPr="005F4AB5">
        <w:t>2</w:t>
      </w:r>
      <w:r w:rsidR="00FA7420" w:rsidRPr="005F4AB5">
        <w:t xml:space="preserve">4). </w:t>
      </w:r>
    </w:p>
    <w:p w14:paraId="53F353D1" w14:textId="77777777" w:rsidR="00DB24C3" w:rsidRPr="005F4AB5" w:rsidRDefault="00DB24C3" w:rsidP="000D58DB">
      <w:pPr>
        <w:pStyle w:val="ListParagraph"/>
        <w:jc w:val="left"/>
      </w:pPr>
    </w:p>
    <w:p w14:paraId="39D8D7BD" w14:textId="6D60C94D" w:rsidR="00EB413D" w:rsidRPr="005F4AB5" w:rsidRDefault="00DB24C3" w:rsidP="000D58DB">
      <w:pPr>
        <w:pStyle w:val="Heading3"/>
      </w:pPr>
      <w:bookmarkStart w:id="73" w:name="_Toc210303305"/>
      <w:bookmarkStart w:id="74" w:name="_Toc210308096"/>
      <w:r w:rsidRPr="005F4AB5">
        <w:t xml:space="preserve">Lead-in </w:t>
      </w:r>
      <w:r w:rsidR="00960115" w:rsidRPr="005F4AB5">
        <w:t>t</w:t>
      </w:r>
      <w:r w:rsidRPr="005F4AB5">
        <w:t>imes</w:t>
      </w:r>
      <w:bookmarkEnd w:id="73"/>
      <w:bookmarkEnd w:id="74"/>
      <w:r w:rsidRPr="005F4AB5">
        <w:t xml:space="preserve"> </w:t>
      </w:r>
    </w:p>
    <w:p w14:paraId="6989E37D" w14:textId="707EDA3C" w:rsidR="00C27168" w:rsidRPr="005F4AB5" w:rsidRDefault="005D752B" w:rsidP="000D58DB">
      <w:pPr>
        <w:pStyle w:val="ListParagraph"/>
        <w:widowControl/>
        <w:numPr>
          <w:ilvl w:val="1"/>
          <w:numId w:val="7"/>
        </w:numPr>
        <w:autoSpaceDE/>
        <w:autoSpaceDN/>
        <w:spacing w:line="276" w:lineRule="auto"/>
        <w:ind w:hanging="720"/>
        <w:jc w:val="left"/>
      </w:pPr>
      <w:r w:rsidRPr="005F4AB5">
        <w:t>Lead-in times refer to the date planning consent was granted to date of the first dwelling completion</w:t>
      </w:r>
      <w:r w:rsidR="003D2F4C" w:rsidRPr="005F4AB5">
        <w:t>.</w:t>
      </w:r>
      <w:r w:rsidR="00DB24C3" w:rsidRPr="005F4AB5">
        <w:t xml:space="preserve"> </w:t>
      </w:r>
      <w:r w:rsidR="003D2F4C" w:rsidRPr="005F4AB5">
        <w:t xml:space="preserve">Officers have taken </w:t>
      </w:r>
      <w:r w:rsidR="004864FB" w:rsidRPr="005F4AB5">
        <w:t>a</w:t>
      </w:r>
      <w:r w:rsidR="008B1431" w:rsidRPr="005F4AB5">
        <w:t xml:space="preserve"> </w:t>
      </w:r>
      <w:r w:rsidR="003D2F4C" w:rsidRPr="005F4AB5">
        <w:t xml:space="preserve">conservative approach when applying expected first delivery of housing. </w:t>
      </w:r>
      <w:r w:rsidR="00992803" w:rsidRPr="005F4AB5">
        <w:t xml:space="preserve">For sites </w:t>
      </w:r>
      <w:r w:rsidR="00156779" w:rsidRPr="005F4AB5">
        <w:t xml:space="preserve">of </w:t>
      </w:r>
      <w:r w:rsidR="00D856A1" w:rsidRPr="005F4AB5">
        <w:t xml:space="preserve">1-4 </w:t>
      </w:r>
      <w:r w:rsidR="006D0D79" w:rsidRPr="005F4AB5">
        <w:t xml:space="preserve">net </w:t>
      </w:r>
      <w:r w:rsidR="00954F73" w:rsidRPr="005F4AB5">
        <w:t>dwellings</w:t>
      </w:r>
      <w:r w:rsidR="00156779" w:rsidRPr="005F4AB5">
        <w:t>,</w:t>
      </w:r>
      <w:r w:rsidR="00D856A1" w:rsidRPr="005F4AB5">
        <w:t xml:space="preserve"> a lead-in time</w:t>
      </w:r>
      <w:r w:rsidR="00954F73" w:rsidRPr="005F4AB5">
        <w:t xml:space="preserve"> within</w:t>
      </w:r>
      <w:r w:rsidR="00D856A1" w:rsidRPr="005F4AB5">
        <w:t xml:space="preserve"> </w:t>
      </w:r>
      <w:r w:rsidR="004D1A95" w:rsidRPr="005F4AB5">
        <w:t xml:space="preserve">year 1 of the </w:t>
      </w:r>
      <w:r w:rsidR="00954F73" w:rsidRPr="005F4AB5">
        <w:t xml:space="preserve">5-year </w:t>
      </w:r>
      <w:r w:rsidR="004D1A95" w:rsidRPr="005F4AB5">
        <w:t>trajectory</w:t>
      </w:r>
      <w:r w:rsidR="00954F73" w:rsidRPr="005F4AB5">
        <w:t xml:space="preserve"> has been applied</w:t>
      </w:r>
      <w:r w:rsidR="004D1A95" w:rsidRPr="005F4AB5">
        <w:t xml:space="preserve">. </w:t>
      </w:r>
      <w:r w:rsidR="00247D76" w:rsidRPr="005F4AB5">
        <w:t xml:space="preserve">For sites of </w:t>
      </w:r>
      <w:r w:rsidR="004D1A95" w:rsidRPr="005F4AB5">
        <w:t>5</w:t>
      </w:r>
      <w:r w:rsidR="00247D76" w:rsidRPr="005F4AB5">
        <w:t>-</w:t>
      </w:r>
      <w:r w:rsidR="0005587D" w:rsidRPr="005F4AB5">
        <w:t>49</w:t>
      </w:r>
      <w:r w:rsidR="00954F73" w:rsidRPr="005F4AB5">
        <w:t xml:space="preserve"> </w:t>
      </w:r>
      <w:r w:rsidR="006D0D79" w:rsidRPr="005F4AB5">
        <w:t xml:space="preserve">net </w:t>
      </w:r>
      <w:r w:rsidR="00954F73" w:rsidRPr="005F4AB5">
        <w:t>dwellings</w:t>
      </w:r>
      <w:r w:rsidR="002F3789" w:rsidRPr="005F4AB5">
        <w:t>, officers have applied a</w:t>
      </w:r>
      <w:r w:rsidR="00954F73" w:rsidRPr="005F4AB5">
        <w:t xml:space="preserve"> lead-in time within year 2 of the trajectory</w:t>
      </w:r>
      <w:r w:rsidR="002F3789" w:rsidRPr="005F4AB5">
        <w:t>.</w:t>
      </w:r>
    </w:p>
    <w:p w14:paraId="059E9460" w14:textId="77777777" w:rsidR="002F3789" w:rsidRPr="005F4AB5" w:rsidRDefault="002F3789" w:rsidP="000D58DB">
      <w:pPr>
        <w:pStyle w:val="ListParagraph"/>
        <w:widowControl/>
        <w:autoSpaceDE/>
        <w:autoSpaceDN/>
        <w:spacing w:line="276" w:lineRule="auto"/>
        <w:ind w:left="720" w:firstLine="0"/>
        <w:jc w:val="left"/>
      </w:pPr>
    </w:p>
    <w:p w14:paraId="186E5B8D" w14:textId="6750F9EE" w:rsidR="002B5400" w:rsidRPr="005F4AB5" w:rsidRDefault="002F3789" w:rsidP="000D58DB">
      <w:pPr>
        <w:pStyle w:val="ListParagraph"/>
        <w:widowControl/>
        <w:numPr>
          <w:ilvl w:val="1"/>
          <w:numId w:val="7"/>
        </w:numPr>
        <w:autoSpaceDE/>
        <w:autoSpaceDN/>
        <w:spacing w:line="276" w:lineRule="auto"/>
        <w:ind w:hanging="720"/>
        <w:jc w:val="left"/>
      </w:pPr>
      <w:r w:rsidRPr="005F4AB5">
        <w:t xml:space="preserve">The Lichfield’s Start to Finish report provide an assessment of the average timeframes </w:t>
      </w:r>
      <w:r w:rsidR="00714090" w:rsidRPr="005F4AB5">
        <w:t xml:space="preserve">from the time it takes </w:t>
      </w:r>
      <w:r w:rsidR="002B5400" w:rsidRPr="005F4AB5">
        <w:t xml:space="preserve">for large major sites </w:t>
      </w:r>
      <w:r w:rsidR="00714090" w:rsidRPr="005F4AB5">
        <w:t>to get planning permission and to the completion of the first dwelling</w:t>
      </w:r>
      <w:r w:rsidRPr="005F4AB5">
        <w:t xml:space="preserve">. </w:t>
      </w:r>
      <w:r w:rsidR="002B5400" w:rsidRPr="005F4AB5">
        <w:t xml:space="preserve">This includes both ‘planning approval period’ and the ‘planning delivery period’. </w:t>
      </w:r>
      <w:r w:rsidR="00992803" w:rsidRPr="005F4AB5">
        <w:fldChar w:fldCharType="begin"/>
      </w:r>
      <w:r w:rsidR="00992803" w:rsidRPr="005F4AB5">
        <w:instrText xml:space="preserve"> REF _Ref177973964 \h </w:instrText>
      </w:r>
      <w:r w:rsidR="000D58DB" w:rsidRPr="005F4AB5">
        <w:instrText xml:space="preserve"> \* MERGEFORMAT </w:instrText>
      </w:r>
      <w:r w:rsidR="00992803" w:rsidRPr="005F4AB5">
        <w:fldChar w:fldCharType="separate"/>
      </w:r>
      <w:r w:rsidR="00033F80" w:rsidRPr="005F4AB5">
        <w:rPr>
          <w:b/>
          <w:bCs/>
          <w:szCs w:val="24"/>
        </w:rPr>
        <w:t xml:space="preserve">Figure </w:t>
      </w:r>
      <w:r w:rsidR="00033F80">
        <w:rPr>
          <w:b/>
          <w:bCs/>
          <w:noProof/>
          <w:szCs w:val="24"/>
        </w:rPr>
        <w:t>6</w:t>
      </w:r>
      <w:r w:rsidR="00992803" w:rsidRPr="005F4AB5">
        <w:fldChar w:fldCharType="end"/>
      </w:r>
      <w:r w:rsidR="00992803" w:rsidRPr="005F4AB5">
        <w:t xml:space="preserve"> </w:t>
      </w:r>
      <w:r w:rsidR="002B5400" w:rsidRPr="005F4AB5">
        <w:t xml:space="preserve">demonstrates the timeframes on a range of site sizes. </w:t>
      </w:r>
    </w:p>
    <w:p w14:paraId="727DD4B1" w14:textId="77777777" w:rsidR="002B5400" w:rsidRPr="005F4AB5" w:rsidRDefault="002B5400" w:rsidP="000D58DB">
      <w:pPr>
        <w:pStyle w:val="ListParagraph"/>
        <w:jc w:val="left"/>
      </w:pPr>
    </w:p>
    <w:p w14:paraId="0AAE736E" w14:textId="7A96ED43" w:rsidR="00992803" w:rsidRPr="005F4AB5" w:rsidRDefault="00992803" w:rsidP="000D58DB">
      <w:pPr>
        <w:spacing w:after="120"/>
        <w:ind w:left="709"/>
        <w:rPr>
          <w:b/>
          <w:bCs/>
          <w:i/>
          <w:szCs w:val="24"/>
        </w:rPr>
      </w:pPr>
      <w:bookmarkStart w:id="75" w:name="_Ref177973964"/>
      <w:bookmarkStart w:id="76" w:name="_Toc208233936"/>
      <w:r w:rsidRPr="005F4AB5">
        <w:rPr>
          <w:b/>
          <w:bCs/>
          <w:szCs w:val="24"/>
        </w:rPr>
        <w:t xml:space="preserve">Figure </w:t>
      </w:r>
      <w:r w:rsidRPr="005F4AB5">
        <w:rPr>
          <w:b/>
          <w:bCs/>
          <w:i/>
          <w:szCs w:val="24"/>
        </w:rPr>
        <w:fldChar w:fldCharType="begin"/>
      </w:r>
      <w:r w:rsidRPr="005F4AB5">
        <w:rPr>
          <w:b/>
          <w:bCs/>
          <w:szCs w:val="24"/>
        </w:rPr>
        <w:instrText xml:space="preserve"> SEQ Figure \* ARABIC </w:instrText>
      </w:r>
      <w:r w:rsidRPr="005F4AB5">
        <w:rPr>
          <w:b/>
          <w:bCs/>
          <w:i/>
          <w:szCs w:val="24"/>
        </w:rPr>
        <w:fldChar w:fldCharType="separate"/>
      </w:r>
      <w:r w:rsidR="00033F80">
        <w:rPr>
          <w:b/>
          <w:bCs/>
          <w:noProof/>
          <w:szCs w:val="24"/>
        </w:rPr>
        <w:t>6</w:t>
      </w:r>
      <w:r w:rsidRPr="005F4AB5">
        <w:rPr>
          <w:b/>
          <w:bCs/>
          <w:i/>
          <w:szCs w:val="24"/>
        </w:rPr>
        <w:fldChar w:fldCharType="end"/>
      </w:r>
      <w:bookmarkEnd w:id="75"/>
      <w:r w:rsidRPr="005F4AB5">
        <w:rPr>
          <w:b/>
          <w:bCs/>
          <w:szCs w:val="24"/>
        </w:rPr>
        <w:t xml:space="preserve">: Timeframes (from Lichfield’s Start to Finish report) for ‘planning approval’ and the ‘planning delivery period’ </w:t>
      </w:r>
      <w:bookmarkEnd w:id="76"/>
    </w:p>
    <w:p w14:paraId="1E7BB3D3" w14:textId="77777777" w:rsidR="00992803" w:rsidRPr="005F4AB5" w:rsidRDefault="00992803" w:rsidP="000D58DB">
      <w:pPr>
        <w:pStyle w:val="ListParagraph"/>
        <w:jc w:val="left"/>
      </w:pPr>
    </w:p>
    <w:tbl>
      <w:tblPr>
        <w:tblStyle w:val="TableGrid"/>
        <w:tblW w:w="0" w:type="auto"/>
        <w:tblInd w:w="720" w:type="dxa"/>
        <w:tblLook w:val="04A0" w:firstRow="1" w:lastRow="0" w:firstColumn="1" w:lastColumn="0" w:noHBand="0" w:noVBand="1"/>
      </w:tblPr>
      <w:tblGrid>
        <w:gridCol w:w="2998"/>
        <w:gridCol w:w="2972"/>
        <w:gridCol w:w="2803"/>
      </w:tblGrid>
      <w:tr w:rsidR="00A34DD5" w:rsidRPr="005F4AB5" w14:paraId="423572D1" w14:textId="77777777" w:rsidTr="00960115">
        <w:trPr>
          <w:cantSplit/>
          <w:tblHeader/>
        </w:trPr>
        <w:tc>
          <w:tcPr>
            <w:tcW w:w="2998" w:type="dxa"/>
          </w:tcPr>
          <w:p w14:paraId="4D2AA795" w14:textId="7F795586" w:rsidR="002B5400" w:rsidRPr="005F4AB5" w:rsidRDefault="002B5400" w:rsidP="000D58DB">
            <w:pPr>
              <w:pStyle w:val="ListParagraph"/>
              <w:widowControl/>
              <w:autoSpaceDE/>
              <w:autoSpaceDN/>
              <w:spacing w:line="276" w:lineRule="auto"/>
              <w:ind w:left="0" w:firstLine="0"/>
              <w:jc w:val="left"/>
              <w:rPr>
                <w:b/>
                <w:bCs/>
              </w:rPr>
            </w:pPr>
            <w:r w:rsidRPr="005F4AB5">
              <w:rPr>
                <w:b/>
                <w:bCs/>
              </w:rPr>
              <w:t>Site size (dwellings)</w:t>
            </w:r>
          </w:p>
        </w:tc>
        <w:tc>
          <w:tcPr>
            <w:tcW w:w="2972" w:type="dxa"/>
          </w:tcPr>
          <w:p w14:paraId="786BE8A0" w14:textId="4E936931" w:rsidR="002B5400" w:rsidRPr="005F4AB5" w:rsidRDefault="002B5400" w:rsidP="000D58DB">
            <w:pPr>
              <w:pStyle w:val="ListParagraph"/>
              <w:widowControl/>
              <w:autoSpaceDE/>
              <w:autoSpaceDN/>
              <w:spacing w:line="276" w:lineRule="auto"/>
              <w:ind w:left="0" w:firstLine="0"/>
              <w:jc w:val="left"/>
              <w:rPr>
                <w:b/>
                <w:bCs/>
              </w:rPr>
            </w:pPr>
            <w:r w:rsidRPr="005F4AB5">
              <w:rPr>
                <w:b/>
                <w:bCs/>
              </w:rPr>
              <w:t xml:space="preserve">Planning approval period </w:t>
            </w:r>
          </w:p>
        </w:tc>
        <w:tc>
          <w:tcPr>
            <w:tcW w:w="2803" w:type="dxa"/>
          </w:tcPr>
          <w:p w14:paraId="5EC838BC" w14:textId="7583C521" w:rsidR="002B5400" w:rsidRPr="005F4AB5" w:rsidRDefault="002B5400" w:rsidP="000D58DB">
            <w:pPr>
              <w:pStyle w:val="ListParagraph"/>
              <w:widowControl/>
              <w:autoSpaceDE/>
              <w:autoSpaceDN/>
              <w:spacing w:line="276" w:lineRule="auto"/>
              <w:ind w:left="0" w:firstLine="0"/>
              <w:jc w:val="left"/>
              <w:rPr>
                <w:b/>
                <w:bCs/>
              </w:rPr>
            </w:pPr>
            <w:r w:rsidRPr="005F4AB5">
              <w:rPr>
                <w:b/>
                <w:bCs/>
              </w:rPr>
              <w:t xml:space="preserve">Planning delivery period </w:t>
            </w:r>
          </w:p>
        </w:tc>
      </w:tr>
      <w:tr w:rsidR="00A34DD5" w:rsidRPr="005F4AB5" w14:paraId="6A0E701D" w14:textId="77777777" w:rsidTr="00960115">
        <w:tc>
          <w:tcPr>
            <w:tcW w:w="2998" w:type="dxa"/>
          </w:tcPr>
          <w:p w14:paraId="178292B2" w14:textId="63A4F256" w:rsidR="002B5400" w:rsidRPr="005F4AB5" w:rsidRDefault="002B5400" w:rsidP="000D58DB">
            <w:pPr>
              <w:pStyle w:val="ListParagraph"/>
              <w:widowControl/>
              <w:autoSpaceDE/>
              <w:autoSpaceDN/>
              <w:spacing w:line="276" w:lineRule="auto"/>
              <w:ind w:left="0" w:firstLine="0"/>
              <w:jc w:val="left"/>
            </w:pPr>
            <w:r w:rsidRPr="005F4AB5">
              <w:t>2,000+</w:t>
            </w:r>
          </w:p>
        </w:tc>
        <w:tc>
          <w:tcPr>
            <w:tcW w:w="2972" w:type="dxa"/>
          </w:tcPr>
          <w:p w14:paraId="0742772E" w14:textId="3E23164D" w:rsidR="002B5400" w:rsidRPr="005F4AB5" w:rsidRDefault="002B5400" w:rsidP="000D58DB">
            <w:pPr>
              <w:pStyle w:val="ListParagraph"/>
              <w:widowControl/>
              <w:autoSpaceDE/>
              <w:autoSpaceDN/>
              <w:spacing w:line="276" w:lineRule="auto"/>
              <w:ind w:left="0" w:firstLine="0"/>
              <w:jc w:val="left"/>
            </w:pPr>
            <w:r w:rsidRPr="005F4AB5">
              <w:t>5.1</w:t>
            </w:r>
          </w:p>
        </w:tc>
        <w:tc>
          <w:tcPr>
            <w:tcW w:w="2803" w:type="dxa"/>
          </w:tcPr>
          <w:p w14:paraId="1BE2E240" w14:textId="7ECBF2F3" w:rsidR="002B5400" w:rsidRPr="005F4AB5" w:rsidRDefault="00773872" w:rsidP="000D58DB">
            <w:pPr>
              <w:pStyle w:val="ListParagraph"/>
              <w:widowControl/>
              <w:autoSpaceDE/>
              <w:autoSpaceDN/>
              <w:spacing w:line="276" w:lineRule="auto"/>
              <w:ind w:left="0" w:firstLine="0"/>
              <w:jc w:val="left"/>
            </w:pPr>
            <w:r w:rsidRPr="005F4AB5">
              <w:t>1.6</w:t>
            </w:r>
          </w:p>
        </w:tc>
      </w:tr>
      <w:tr w:rsidR="00A34DD5" w:rsidRPr="005F4AB5" w14:paraId="545B40A3" w14:textId="77777777" w:rsidTr="00960115">
        <w:tc>
          <w:tcPr>
            <w:tcW w:w="2998" w:type="dxa"/>
          </w:tcPr>
          <w:p w14:paraId="46EFF196" w14:textId="4C0A6C27" w:rsidR="002B5400" w:rsidRPr="005F4AB5" w:rsidRDefault="002B5400" w:rsidP="000D58DB">
            <w:pPr>
              <w:pStyle w:val="ListParagraph"/>
              <w:widowControl/>
              <w:autoSpaceDE/>
              <w:autoSpaceDN/>
              <w:spacing w:line="276" w:lineRule="auto"/>
              <w:ind w:left="0" w:firstLine="0"/>
              <w:jc w:val="left"/>
            </w:pPr>
            <w:r w:rsidRPr="005F4AB5">
              <w:t>1,500</w:t>
            </w:r>
            <w:r w:rsidR="00177FEA" w:rsidRPr="005F4AB5">
              <w:t>-</w:t>
            </w:r>
            <w:r w:rsidRPr="005F4AB5">
              <w:t>1,999</w:t>
            </w:r>
          </w:p>
        </w:tc>
        <w:tc>
          <w:tcPr>
            <w:tcW w:w="2972" w:type="dxa"/>
          </w:tcPr>
          <w:p w14:paraId="7E13D44A" w14:textId="134B1C11" w:rsidR="002B5400" w:rsidRPr="005F4AB5" w:rsidRDefault="002B5400" w:rsidP="000D58DB">
            <w:pPr>
              <w:pStyle w:val="ListParagraph"/>
              <w:widowControl/>
              <w:autoSpaceDE/>
              <w:autoSpaceDN/>
              <w:spacing w:line="276" w:lineRule="auto"/>
              <w:ind w:left="0" w:firstLine="0"/>
              <w:jc w:val="left"/>
            </w:pPr>
            <w:r w:rsidRPr="005F4AB5">
              <w:t>5</w:t>
            </w:r>
          </w:p>
        </w:tc>
        <w:tc>
          <w:tcPr>
            <w:tcW w:w="2803" w:type="dxa"/>
          </w:tcPr>
          <w:p w14:paraId="59C4220D" w14:textId="65462A1C" w:rsidR="002B5400" w:rsidRPr="005F4AB5" w:rsidRDefault="00773872" w:rsidP="000D58DB">
            <w:pPr>
              <w:pStyle w:val="ListParagraph"/>
              <w:widowControl/>
              <w:autoSpaceDE/>
              <w:autoSpaceDN/>
              <w:spacing w:line="276" w:lineRule="auto"/>
              <w:ind w:left="0" w:firstLine="0"/>
              <w:jc w:val="left"/>
            </w:pPr>
            <w:r w:rsidRPr="005F4AB5">
              <w:t>1.6</w:t>
            </w:r>
          </w:p>
        </w:tc>
      </w:tr>
      <w:tr w:rsidR="00A34DD5" w:rsidRPr="005F4AB5" w14:paraId="47E77EAC" w14:textId="77777777" w:rsidTr="00960115">
        <w:tc>
          <w:tcPr>
            <w:tcW w:w="2998" w:type="dxa"/>
          </w:tcPr>
          <w:p w14:paraId="4BCB86FB" w14:textId="4DDABCC9" w:rsidR="002B5400" w:rsidRPr="005F4AB5" w:rsidRDefault="002B5400" w:rsidP="000D58DB">
            <w:pPr>
              <w:pStyle w:val="ListParagraph"/>
              <w:widowControl/>
              <w:autoSpaceDE/>
              <w:autoSpaceDN/>
              <w:spacing w:line="276" w:lineRule="auto"/>
              <w:ind w:left="0" w:firstLine="0"/>
              <w:jc w:val="left"/>
            </w:pPr>
            <w:r w:rsidRPr="005F4AB5">
              <w:t>1,000</w:t>
            </w:r>
            <w:r w:rsidR="00177FEA" w:rsidRPr="005F4AB5">
              <w:t>-</w:t>
            </w:r>
            <w:r w:rsidRPr="005F4AB5">
              <w:t>1,499</w:t>
            </w:r>
          </w:p>
        </w:tc>
        <w:tc>
          <w:tcPr>
            <w:tcW w:w="2972" w:type="dxa"/>
          </w:tcPr>
          <w:p w14:paraId="5A0615E3" w14:textId="52B71EEA" w:rsidR="002B5400" w:rsidRPr="005F4AB5" w:rsidRDefault="002B5400" w:rsidP="000D58DB">
            <w:pPr>
              <w:pStyle w:val="ListParagraph"/>
              <w:widowControl/>
              <w:autoSpaceDE/>
              <w:autoSpaceDN/>
              <w:spacing w:line="276" w:lineRule="auto"/>
              <w:ind w:left="0" w:firstLine="0"/>
              <w:jc w:val="left"/>
            </w:pPr>
            <w:r w:rsidRPr="005F4AB5">
              <w:t>4.9</w:t>
            </w:r>
          </w:p>
        </w:tc>
        <w:tc>
          <w:tcPr>
            <w:tcW w:w="2803" w:type="dxa"/>
          </w:tcPr>
          <w:p w14:paraId="368282FA" w14:textId="68126899" w:rsidR="002B5400" w:rsidRPr="005F4AB5" w:rsidRDefault="00773872" w:rsidP="000D58DB">
            <w:pPr>
              <w:pStyle w:val="ListParagraph"/>
              <w:widowControl/>
              <w:autoSpaceDE/>
              <w:autoSpaceDN/>
              <w:spacing w:line="276" w:lineRule="auto"/>
              <w:ind w:left="0" w:firstLine="0"/>
              <w:jc w:val="left"/>
            </w:pPr>
            <w:r w:rsidRPr="005F4AB5">
              <w:t>1.3</w:t>
            </w:r>
          </w:p>
        </w:tc>
      </w:tr>
      <w:tr w:rsidR="00A34DD5" w:rsidRPr="005F4AB5" w14:paraId="5A3FE6A1" w14:textId="77777777" w:rsidTr="00960115">
        <w:tc>
          <w:tcPr>
            <w:tcW w:w="2998" w:type="dxa"/>
          </w:tcPr>
          <w:p w14:paraId="16F35BC3" w14:textId="213023A6" w:rsidR="002B5400" w:rsidRPr="005F4AB5" w:rsidRDefault="002B5400" w:rsidP="000D58DB">
            <w:pPr>
              <w:pStyle w:val="ListParagraph"/>
              <w:widowControl/>
              <w:autoSpaceDE/>
              <w:autoSpaceDN/>
              <w:spacing w:line="276" w:lineRule="auto"/>
              <w:ind w:left="0" w:firstLine="0"/>
              <w:jc w:val="left"/>
            </w:pPr>
            <w:r w:rsidRPr="005F4AB5">
              <w:t>500</w:t>
            </w:r>
            <w:r w:rsidR="00177FEA" w:rsidRPr="005F4AB5">
              <w:t>-</w:t>
            </w:r>
            <w:r w:rsidRPr="005F4AB5">
              <w:t xml:space="preserve">499 </w:t>
            </w:r>
          </w:p>
        </w:tc>
        <w:tc>
          <w:tcPr>
            <w:tcW w:w="2972" w:type="dxa"/>
          </w:tcPr>
          <w:p w14:paraId="11140210" w14:textId="39862BA5" w:rsidR="002B5400" w:rsidRPr="005F4AB5" w:rsidRDefault="002B5400" w:rsidP="000D58DB">
            <w:pPr>
              <w:pStyle w:val="ListParagraph"/>
              <w:widowControl/>
              <w:autoSpaceDE/>
              <w:autoSpaceDN/>
              <w:spacing w:line="276" w:lineRule="auto"/>
              <w:ind w:left="0" w:firstLine="0"/>
              <w:jc w:val="left"/>
            </w:pPr>
            <w:r w:rsidRPr="005F4AB5">
              <w:t>3.4</w:t>
            </w:r>
          </w:p>
        </w:tc>
        <w:tc>
          <w:tcPr>
            <w:tcW w:w="2803" w:type="dxa"/>
          </w:tcPr>
          <w:p w14:paraId="479FD875" w14:textId="578471CD" w:rsidR="002B5400" w:rsidRPr="005F4AB5" w:rsidRDefault="00773872" w:rsidP="000D58DB">
            <w:pPr>
              <w:pStyle w:val="ListParagraph"/>
              <w:widowControl/>
              <w:autoSpaceDE/>
              <w:autoSpaceDN/>
              <w:spacing w:line="276" w:lineRule="auto"/>
              <w:ind w:left="0" w:firstLine="0"/>
              <w:jc w:val="left"/>
            </w:pPr>
            <w:r w:rsidRPr="005F4AB5">
              <w:t>1.5</w:t>
            </w:r>
          </w:p>
        </w:tc>
      </w:tr>
      <w:tr w:rsidR="00A34DD5" w:rsidRPr="005F4AB5" w14:paraId="7558F10E" w14:textId="77777777" w:rsidTr="00960115">
        <w:tc>
          <w:tcPr>
            <w:tcW w:w="2998" w:type="dxa"/>
          </w:tcPr>
          <w:p w14:paraId="607F9E6E" w14:textId="1AF8B09E" w:rsidR="002B5400" w:rsidRPr="005F4AB5" w:rsidRDefault="002B5400" w:rsidP="000D58DB">
            <w:pPr>
              <w:pStyle w:val="ListParagraph"/>
              <w:widowControl/>
              <w:autoSpaceDE/>
              <w:autoSpaceDN/>
              <w:spacing w:line="276" w:lineRule="auto"/>
              <w:ind w:left="0" w:firstLine="0"/>
              <w:jc w:val="left"/>
            </w:pPr>
            <w:r w:rsidRPr="005F4AB5">
              <w:t>100</w:t>
            </w:r>
            <w:r w:rsidR="00177FEA" w:rsidRPr="005F4AB5">
              <w:t>-</w:t>
            </w:r>
            <w:r w:rsidRPr="005F4AB5">
              <w:t xml:space="preserve">499 </w:t>
            </w:r>
          </w:p>
        </w:tc>
        <w:tc>
          <w:tcPr>
            <w:tcW w:w="2972" w:type="dxa"/>
          </w:tcPr>
          <w:p w14:paraId="1AEDCA0A" w14:textId="07301B4E" w:rsidR="002B5400" w:rsidRPr="005F4AB5" w:rsidRDefault="002B5400" w:rsidP="000D58DB">
            <w:pPr>
              <w:pStyle w:val="ListParagraph"/>
              <w:widowControl/>
              <w:autoSpaceDE/>
              <w:autoSpaceDN/>
              <w:spacing w:line="276" w:lineRule="auto"/>
              <w:ind w:left="0" w:firstLine="0"/>
              <w:jc w:val="left"/>
            </w:pPr>
            <w:r w:rsidRPr="005F4AB5">
              <w:t>2.8</w:t>
            </w:r>
          </w:p>
        </w:tc>
        <w:tc>
          <w:tcPr>
            <w:tcW w:w="2803" w:type="dxa"/>
          </w:tcPr>
          <w:p w14:paraId="2F6CA093" w14:textId="42D79EB3" w:rsidR="002B5400" w:rsidRPr="005F4AB5" w:rsidRDefault="00773872" w:rsidP="000D58DB">
            <w:pPr>
              <w:pStyle w:val="ListParagraph"/>
              <w:widowControl/>
              <w:autoSpaceDE/>
              <w:autoSpaceDN/>
              <w:spacing w:line="276" w:lineRule="auto"/>
              <w:ind w:left="0" w:firstLine="0"/>
              <w:jc w:val="left"/>
            </w:pPr>
            <w:r w:rsidRPr="005F4AB5">
              <w:t>3.2</w:t>
            </w:r>
          </w:p>
        </w:tc>
      </w:tr>
      <w:tr w:rsidR="00A34DD5" w:rsidRPr="005F4AB5" w14:paraId="19184044" w14:textId="77777777" w:rsidTr="00960115">
        <w:tc>
          <w:tcPr>
            <w:tcW w:w="2998" w:type="dxa"/>
          </w:tcPr>
          <w:p w14:paraId="70249521" w14:textId="2EC55198" w:rsidR="002B5400" w:rsidRPr="005F4AB5" w:rsidRDefault="002B5400" w:rsidP="000D58DB">
            <w:pPr>
              <w:pStyle w:val="ListParagraph"/>
              <w:widowControl/>
              <w:autoSpaceDE/>
              <w:autoSpaceDN/>
              <w:spacing w:line="276" w:lineRule="auto"/>
              <w:ind w:left="0" w:firstLine="0"/>
              <w:jc w:val="left"/>
            </w:pPr>
            <w:r w:rsidRPr="005F4AB5">
              <w:t>50</w:t>
            </w:r>
            <w:r w:rsidR="00177FEA" w:rsidRPr="005F4AB5">
              <w:t>-</w:t>
            </w:r>
            <w:r w:rsidRPr="005F4AB5">
              <w:t>99</w:t>
            </w:r>
          </w:p>
        </w:tc>
        <w:tc>
          <w:tcPr>
            <w:tcW w:w="2972" w:type="dxa"/>
          </w:tcPr>
          <w:p w14:paraId="4679F452" w14:textId="2E0D87FA" w:rsidR="002B5400" w:rsidRPr="005F4AB5" w:rsidRDefault="002B5400" w:rsidP="000D58DB">
            <w:pPr>
              <w:pStyle w:val="ListParagraph"/>
              <w:widowControl/>
              <w:autoSpaceDE/>
              <w:autoSpaceDN/>
              <w:spacing w:line="276" w:lineRule="auto"/>
              <w:ind w:left="0" w:firstLine="0"/>
              <w:jc w:val="left"/>
            </w:pPr>
            <w:r w:rsidRPr="005F4AB5">
              <w:t>1.5</w:t>
            </w:r>
          </w:p>
        </w:tc>
        <w:tc>
          <w:tcPr>
            <w:tcW w:w="2803" w:type="dxa"/>
          </w:tcPr>
          <w:p w14:paraId="4F9EC5D4" w14:textId="04988D69" w:rsidR="002B5400" w:rsidRPr="005F4AB5" w:rsidRDefault="00773872" w:rsidP="000D58DB">
            <w:pPr>
              <w:pStyle w:val="ListParagraph"/>
              <w:widowControl/>
              <w:autoSpaceDE/>
              <w:autoSpaceDN/>
              <w:spacing w:line="276" w:lineRule="auto"/>
              <w:ind w:left="0" w:firstLine="0"/>
              <w:jc w:val="left"/>
            </w:pPr>
            <w:r w:rsidRPr="005F4AB5">
              <w:t>2.3</w:t>
            </w:r>
          </w:p>
        </w:tc>
      </w:tr>
    </w:tbl>
    <w:p w14:paraId="5CA84863" w14:textId="36FBB961" w:rsidR="003E1677" w:rsidRPr="005F4AB5" w:rsidRDefault="003E1677" w:rsidP="000D58DB"/>
    <w:p w14:paraId="739C7380" w14:textId="2DD7D146" w:rsidR="00C27168" w:rsidRPr="005F4AB5" w:rsidRDefault="00616647" w:rsidP="000D58DB">
      <w:pPr>
        <w:pStyle w:val="Heading3"/>
      </w:pPr>
      <w:bookmarkStart w:id="77" w:name="_Toc210303306"/>
      <w:bookmarkStart w:id="78" w:name="_Toc210308097"/>
      <w:r w:rsidRPr="005F4AB5">
        <w:t xml:space="preserve">Build-out </w:t>
      </w:r>
      <w:r w:rsidR="00960115" w:rsidRPr="005F4AB5">
        <w:t>t</w:t>
      </w:r>
      <w:r w:rsidRPr="005F4AB5">
        <w:t>imes</w:t>
      </w:r>
      <w:bookmarkEnd w:id="77"/>
      <w:bookmarkEnd w:id="78"/>
      <w:r w:rsidRPr="005F4AB5">
        <w:t xml:space="preserve"> </w:t>
      </w:r>
    </w:p>
    <w:p w14:paraId="70F2CF0A" w14:textId="26A45BF4" w:rsidR="00616647" w:rsidRPr="005F4AB5" w:rsidRDefault="000959F6" w:rsidP="000D58DB">
      <w:pPr>
        <w:pStyle w:val="ListParagraph"/>
        <w:widowControl/>
        <w:numPr>
          <w:ilvl w:val="1"/>
          <w:numId w:val="7"/>
        </w:numPr>
        <w:autoSpaceDE/>
        <w:autoSpaceDN/>
        <w:spacing w:line="276" w:lineRule="auto"/>
        <w:ind w:hanging="720"/>
        <w:jc w:val="left"/>
      </w:pPr>
      <w:r w:rsidRPr="005F4AB5">
        <w:t>This relates to the rate at which homes are</w:t>
      </w:r>
      <w:r w:rsidR="008A041C" w:rsidRPr="005F4AB5">
        <w:t xml:space="preserve"> to be</w:t>
      </w:r>
      <w:r w:rsidRPr="005F4AB5">
        <w:t xml:space="preserve"> </w:t>
      </w:r>
      <w:r w:rsidR="008A041C" w:rsidRPr="005F4AB5">
        <w:t xml:space="preserve">built </w:t>
      </w:r>
      <w:r w:rsidRPr="005F4AB5">
        <w:t>out on sites</w:t>
      </w:r>
      <w:r w:rsidR="008A041C" w:rsidRPr="005F4AB5">
        <w:t xml:space="preserve">. For small </w:t>
      </w:r>
      <w:r w:rsidR="00773872" w:rsidRPr="005F4AB5">
        <w:t xml:space="preserve">and medium </w:t>
      </w:r>
      <w:r w:rsidR="008A041C" w:rsidRPr="005F4AB5">
        <w:t xml:space="preserve">sites, the build-out rate applied is within year 1 or 2 in the </w:t>
      </w:r>
      <w:r w:rsidR="000D58DB" w:rsidRPr="005F4AB5">
        <w:t>five</w:t>
      </w:r>
      <w:r w:rsidR="008A041C" w:rsidRPr="005F4AB5">
        <w:t xml:space="preserve">-year period. Only very occasionally will sites be built out in year 3 where there is local evidence. </w:t>
      </w:r>
    </w:p>
    <w:p w14:paraId="2DFD9876" w14:textId="77777777" w:rsidR="00616647" w:rsidRPr="005F4AB5" w:rsidRDefault="00616647" w:rsidP="000D58DB">
      <w:pPr>
        <w:pStyle w:val="ListParagraph"/>
        <w:jc w:val="left"/>
      </w:pPr>
    </w:p>
    <w:p w14:paraId="1C78030B" w14:textId="05E858EB" w:rsidR="00BC6B15" w:rsidRPr="005F4AB5" w:rsidRDefault="00616647" w:rsidP="000D58DB">
      <w:pPr>
        <w:pStyle w:val="ListParagraph"/>
        <w:widowControl/>
        <w:numPr>
          <w:ilvl w:val="1"/>
          <w:numId w:val="7"/>
        </w:numPr>
        <w:autoSpaceDE/>
        <w:autoSpaceDN/>
        <w:spacing w:line="276" w:lineRule="auto"/>
        <w:ind w:hanging="720"/>
        <w:jc w:val="left"/>
      </w:pPr>
      <w:r w:rsidRPr="005F4AB5">
        <w:lastRenderedPageBreak/>
        <w:t>The Lichfield’s Start to Finish report</w:t>
      </w:r>
      <w:r w:rsidR="003D2F4C" w:rsidRPr="005F4AB5">
        <w:t xml:space="preserve"> took a sample of sites of varying sizes and reported a mean average of annual </w:t>
      </w:r>
      <w:r w:rsidR="00990E1F" w:rsidRPr="005F4AB5">
        <w:t>build out for sites of these sizes.</w:t>
      </w:r>
      <w:r w:rsidRPr="005F4AB5">
        <w:rPr>
          <w:b/>
          <w:bCs/>
        </w:rPr>
        <w:t xml:space="preserve"> </w:t>
      </w:r>
      <w:r w:rsidR="00DA3B74" w:rsidRPr="005F4AB5">
        <w:rPr>
          <w:b/>
          <w:bCs/>
        </w:rPr>
        <w:fldChar w:fldCharType="begin"/>
      </w:r>
      <w:r w:rsidR="00DA3B74" w:rsidRPr="005F4AB5">
        <w:rPr>
          <w:b/>
          <w:bCs/>
        </w:rPr>
        <w:instrText xml:space="preserve"> REF _Ref177986897 \h  \* MERGEFORMAT </w:instrText>
      </w:r>
      <w:r w:rsidR="00DA3B74" w:rsidRPr="005F4AB5">
        <w:rPr>
          <w:b/>
          <w:bCs/>
        </w:rPr>
      </w:r>
      <w:r w:rsidR="00DA3B74" w:rsidRPr="005F4AB5">
        <w:rPr>
          <w:b/>
          <w:bCs/>
        </w:rPr>
        <w:fldChar w:fldCharType="separate"/>
      </w:r>
      <w:r w:rsidR="00033F80" w:rsidRPr="005F4AB5">
        <w:rPr>
          <w:b/>
          <w:bCs/>
          <w:szCs w:val="24"/>
        </w:rPr>
        <w:t xml:space="preserve">Figure </w:t>
      </w:r>
      <w:r w:rsidR="00033F80">
        <w:rPr>
          <w:b/>
          <w:bCs/>
          <w:noProof/>
          <w:szCs w:val="24"/>
        </w:rPr>
        <w:t>7</w:t>
      </w:r>
      <w:r w:rsidR="00DA3B74" w:rsidRPr="005F4AB5">
        <w:rPr>
          <w:b/>
          <w:bCs/>
        </w:rPr>
        <w:fldChar w:fldCharType="end"/>
      </w:r>
      <w:r w:rsidR="00DA3B74" w:rsidRPr="005F4AB5">
        <w:t xml:space="preserve"> </w:t>
      </w:r>
      <w:r w:rsidR="00BC6B15" w:rsidRPr="005F4AB5">
        <w:t xml:space="preserve">show the mean build out rate on a range of </w:t>
      </w:r>
      <w:r w:rsidR="004B4293" w:rsidRPr="005F4AB5">
        <w:t xml:space="preserve">large major </w:t>
      </w:r>
      <w:r w:rsidR="00BC6B15" w:rsidRPr="005F4AB5">
        <w:t>site sizes</w:t>
      </w:r>
      <w:r w:rsidR="004B4293" w:rsidRPr="005F4AB5">
        <w:t xml:space="preserve">. </w:t>
      </w:r>
    </w:p>
    <w:p w14:paraId="0D0FF365" w14:textId="77777777" w:rsidR="00BC6B15" w:rsidRPr="005F4AB5" w:rsidRDefault="00BC6B15" w:rsidP="000D58DB">
      <w:pPr>
        <w:pStyle w:val="ListParagraph"/>
        <w:jc w:val="left"/>
      </w:pPr>
    </w:p>
    <w:p w14:paraId="78DB84E7" w14:textId="5B97C70B" w:rsidR="00DA3B74" w:rsidRPr="005F4AB5" w:rsidRDefault="00DA3B74" w:rsidP="000D58DB">
      <w:pPr>
        <w:spacing w:after="120"/>
        <w:ind w:left="709"/>
        <w:rPr>
          <w:b/>
          <w:bCs/>
          <w:i/>
          <w:szCs w:val="24"/>
        </w:rPr>
      </w:pPr>
      <w:bookmarkStart w:id="79" w:name="_Ref177986897"/>
      <w:bookmarkStart w:id="80" w:name="_Toc208233937"/>
      <w:r w:rsidRPr="005F4AB5">
        <w:rPr>
          <w:b/>
          <w:bCs/>
          <w:szCs w:val="24"/>
        </w:rPr>
        <w:t xml:space="preserve">Figure </w:t>
      </w:r>
      <w:r w:rsidRPr="005F4AB5">
        <w:rPr>
          <w:b/>
          <w:bCs/>
          <w:i/>
          <w:szCs w:val="24"/>
        </w:rPr>
        <w:fldChar w:fldCharType="begin"/>
      </w:r>
      <w:r w:rsidRPr="005F4AB5">
        <w:rPr>
          <w:b/>
          <w:bCs/>
          <w:szCs w:val="24"/>
        </w:rPr>
        <w:instrText xml:space="preserve"> SEQ Figure \* ARABIC </w:instrText>
      </w:r>
      <w:r w:rsidRPr="005F4AB5">
        <w:rPr>
          <w:b/>
          <w:bCs/>
          <w:i/>
          <w:szCs w:val="24"/>
        </w:rPr>
        <w:fldChar w:fldCharType="separate"/>
      </w:r>
      <w:r w:rsidR="00033F80">
        <w:rPr>
          <w:b/>
          <w:bCs/>
          <w:noProof/>
          <w:szCs w:val="24"/>
        </w:rPr>
        <w:t>7</w:t>
      </w:r>
      <w:r w:rsidRPr="005F4AB5">
        <w:rPr>
          <w:b/>
          <w:bCs/>
          <w:i/>
          <w:szCs w:val="24"/>
        </w:rPr>
        <w:fldChar w:fldCharType="end"/>
      </w:r>
      <w:bookmarkEnd w:id="79"/>
      <w:r w:rsidRPr="005F4AB5">
        <w:rPr>
          <w:b/>
          <w:bCs/>
          <w:szCs w:val="24"/>
        </w:rPr>
        <w:t>: Mean build out rates (from Lichfield’s Start to Finish report) on a range of large major sites</w:t>
      </w:r>
      <w:bookmarkEnd w:id="80"/>
      <w:r w:rsidRPr="005F4AB5">
        <w:rPr>
          <w:b/>
          <w:bCs/>
          <w:szCs w:val="24"/>
        </w:rPr>
        <w:t xml:space="preserve"> </w:t>
      </w:r>
    </w:p>
    <w:p w14:paraId="6381FE91" w14:textId="77777777" w:rsidR="00BC6B15" w:rsidRPr="005F4AB5" w:rsidRDefault="00BC6B15" w:rsidP="000D58DB">
      <w:pPr>
        <w:pStyle w:val="ListParagraph"/>
        <w:widowControl/>
        <w:autoSpaceDE/>
        <w:autoSpaceDN/>
        <w:spacing w:line="276" w:lineRule="auto"/>
        <w:ind w:left="720" w:firstLine="0"/>
        <w:jc w:val="left"/>
      </w:pPr>
    </w:p>
    <w:tbl>
      <w:tblPr>
        <w:tblStyle w:val="TableGrid"/>
        <w:tblW w:w="0" w:type="auto"/>
        <w:tblInd w:w="1980" w:type="dxa"/>
        <w:tblLook w:val="04A0" w:firstRow="1" w:lastRow="0" w:firstColumn="1" w:lastColumn="0" w:noHBand="0" w:noVBand="1"/>
      </w:tblPr>
      <w:tblGrid>
        <w:gridCol w:w="2954"/>
        <w:gridCol w:w="2977"/>
      </w:tblGrid>
      <w:tr w:rsidR="00A34DD5" w:rsidRPr="005F4AB5" w14:paraId="4ED3A0B1" w14:textId="77777777" w:rsidTr="00791BB0">
        <w:trPr>
          <w:cantSplit/>
          <w:tblHeader/>
        </w:trPr>
        <w:tc>
          <w:tcPr>
            <w:tcW w:w="2954" w:type="dxa"/>
          </w:tcPr>
          <w:p w14:paraId="77E4C6BB" w14:textId="532F05BF" w:rsidR="004B4293" w:rsidRPr="005F4AB5" w:rsidRDefault="004B4293" w:rsidP="000D58DB">
            <w:pPr>
              <w:pStyle w:val="ListParagraph"/>
              <w:widowControl/>
              <w:autoSpaceDE/>
              <w:autoSpaceDN/>
              <w:spacing w:line="276" w:lineRule="auto"/>
              <w:ind w:left="0" w:firstLine="0"/>
              <w:jc w:val="left"/>
              <w:rPr>
                <w:b/>
                <w:bCs/>
              </w:rPr>
            </w:pPr>
            <w:r w:rsidRPr="005F4AB5">
              <w:rPr>
                <w:b/>
                <w:bCs/>
              </w:rPr>
              <w:t>Site size (dwellings)</w:t>
            </w:r>
          </w:p>
        </w:tc>
        <w:tc>
          <w:tcPr>
            <w:tcW w:w="2977" w:type="dxa"/>
          </w:tcPr>
          <w:p w14:paraId="1EA8DA83" w14:textId="5C2100AE" w:rsidR="004B4293" w:rsidRPr="005F4AB5" w:rsidRDefault="004B4293" w:rsidP="000D58DB">
            <w:pPr>
              <w:pStyle w:val="ListParagraph"/>
              <w:widowControl/>
              <w:autoSpaceDE/>
              <w:autoSpaceDN/>
              <w:spacing w:line="276" w:lineRule="auto"/>
              <w:ind w:left="0" w:firstLine="0"/>
              <w:jc w:val="left"/>
              <w:rPr>
                <w:b/>
                <w:bCs/>
              </w:rPr>
            </w:pPr>
            <w:r w:rsidRPr="005F4AB5">
              <w:rPr>
                <w:b/>
                <w:bCs/>
              </w:rPr>
              <w:t>Mean build-out rate (dpa)</w:t>
            </w:r>
          </w:p>
        </w:tc>
      </w:tr>
      <w:tr w:rsidR="00A34DD5" w:rsidRPr="005F4AB5" w14:paraId="28CA4C48" w14:textId="77777777" w:rsidTr="004B4293">
        <w:tc>
          <w:tcPr>
            <w:tcW w:w="2954" w:type="dxa"/>
          </w:tcPr>
          <w:p w14:paraId="27C87C9F" w14:textId="79EF5E8D" w:rsidR="004B4293" w:rsidRPr="005F4AB5" w:rsidRDefault="004B4293" w:rsidP="000D58DB">
            <w:pPr>
              <w:pStyle w:val="ListParagraph"/>
              <w:widowControl/>
              <w:autoSpaceDE/>
              <w:autoSpaceDN/>
              <w:spacing w:line="276" w:lineRule="auto"/>
              <w:ind w:left="0" w:firstLine="0"/>
              <w:jc w:val="left"/>
            </w:pPr>
            <w:r w:rsidRPr="005F4AB5">
              <w:t>50</w:t>
            </w:r>
            <w:r w:rsidR="00177FEA" w:rsidRPr="005F4AB5">
              <w:t>-</w:t>
            </w:r>
            <w:r w:rsidRPr="005F4AB5">
              <w:t>99</w:t>
            </w:r>
          </w:p>
        </w:tc>
        <w:tc>
          <w:tcPr>
            <w:tcW w:w="2977" w:type="dxa"/>
          </w:tcPr>
          <w:p w14:paraId="51619CD4" w14:textId="2BA36692" w:rsidR="004B4293" w:rsidRPr="005F4AB5" w:rsidRDefault="00C8272A" w:rsidP="000D58DB">
            <w:pPr>
              <w:pStyle w:val="ListParagraph"/>
              <w:widowControl/>
              <w:autoSpaceDE/>
              <w:autoSpaceDN/>
              <w:spacing w:line="276" w:lineRule="auto"/>
              <w:ind w:left="0" w:firstLine="0"/>
              <w:jc w:val="left"/>
            </w:pPr>
            <w:r w:rsidRPr="005F4AB5">
              <w:t>20</w:t>
            </w:r>
          </w:p>
        </w:tc>
      </w:tr>
      <w:tr w:rsidR="00A34DD5" w:rsidRPr="005F4AB5" w14:paraId="61C6BDBA" w14:textId="77777777" w:rsidTr="004B4293">
        <w:tc>
          <w:tcPr>
            <w:tcW w:w="2954" w:type="dxa"/>
          </w:tcPr>
          <w:p w14:paraId="73DD22C5" w14:textId="5A5AF929" w:rsidR="004B4293" w:rsidRPr="005F4AB5" w:rsidRDefault="004B4293" w:rsidP="000D58DB">
            <w:pPr>
              <w:pStyle w:val="ListParagraph"/>
              <w:widowControl/>
              <w:autoSpaceDE/>
              <w:autoSpaceDN/>
              <w:spacing w:line="276" w:lineRule="auto"/>
              <w:ind w:left="0" w:firstLine="0"/>
              <w:jc w:val="left"/>
            </w:pPr>
            <w:r w:rsidRPr="005F4AB5">
              <w:t>100</w:t>
            </w:r>
            <w:r w:rsidR="00177FEA" w:rsidRPr="005F4AB5">
              <w:t>-</w:t>
            </w:r>
            <w:r w:rsidRPr="005F4AB5">
              <w:t>499</w:t>
            </w:r>
          </w:p>
        </w:tc>
        <w:tc>
          <w:tcPr>
            <w:tcW w:w="2977" w:type="dxa"/>
          </w:tcPr>
          <w:p w14:paraId="058BDDC0" w14:textId="63D2E8FC" w:rsidR="004B4293" w:rsidRPr="005F4AB5" w:rsidRDefault="00C8272A" w:rsidP="000D58DB">
            <w:pPr>
              <w:pStyle w:val="ListParagraph"/>
              <w:widowControl/>
              <w:autoSpaceDE/>
              <w:autoSpaceDN/>
              <w:spacing w:line="276" w:lineRule="auto"/>
              <w:ind w:left="0" w:firstLine="0"/>
              <w:jc w:val="left"/>
            </w:pPr>
            <w:r w:rsidRPr="005F4AB5">
              <w:t>49</w:t>
            </w:r>
          </w:p>
        </w:tc>
      </w:tr>
      <w:tr w:rsidR="00A34DD5" w:rsidRPr="005F4AB5" w14:paraId="0EB78A92" w14:textId="77777777" w:rsidTr="004B4293">
        <w:tc>
          <w:tcPr>
            <w:tcW w:w="2954" w:type="dxa"/>
          </w:tcPr>
          <w:p w14:paraId="20698481" w14:textId="15320988" w:rsidR="004B4293" w:rsidRPr="005F4AB5" w:rsidRDefault="004B4293" w:rsidP="000D58DB">
            <w:pPr>
              <w:pStyle w:val="ListParagraph"/>
              <w:widowControl/>
              <w:autoSpaceDE/>
              <w:autoSpaceDN/>
              <w:spacing w:line="276" w:lineRule="auto"/>
              <w:ind w:left="0" w:firstLine="0"/>
              <w:jc w:val="left"/>
            </w:pPr>
            <w:r w:rsidRPr="005F4AB5">
              <w:t>500</w:t>
            </w:r>
            <w:r w:rsidR="00177FEA" w:rsidRPr="005F4AB5">
              <w:t>-</w:t>
            </w:r>
            <w:r w:rsidRPr="005F4AB5">
              <w:t>99</w:t>
            </w:r>
            <w:r w:rsidR="00F72447" w:rsidRPr="005F4AB5">
              <w:t>9</w:t>
            </w:r>
          </w:p>
        </w:tc>
        <w:tc>
          <w:tcPr>
            <w:tcW w:w="2977" w:type="dxa"/>
          </w:tcPr>
          <w:p w14:paraId="0B0D0CFA" w14:textId="76CE008E" w:rsidR="004B4293" w:rsidRPr="005F4AB5" w:rsidRDefault="00C8272A" w:rsidP="000D58DB">
            <w:pPr>
              <w:pStyle w:val="ListParagraph"/>
              <w:widowControl/>
              <w:autoSpaceDE/>
              <w:autoSpaceDN/>
              <w:spacing w:line="276" w:lineRule="auto"/>
              <w:ind w:left="0" w:firstLine="0"/>
              <w:jc w:val="left"/>
            </w:pPr>
            <w:r w:rsidRPr="005F4AB5">
              <w:t>67</w:t>
            </w:r>
          </w:p>
        </w:tc>
      </w:tr>
      <w:tr w:rsidR="00A34DD5" w:rsidRPr="005F4AB5" w14:paraId="7D5016A4" w14:textId="77777777" w:rsidTr="004B4293">
        <w:tc>
          <w:tcPr>
            <w:tcW w:w="2954" w:type="dxa"/>
          </w:tcPr>
          <w:p w14:paraId="324BBBE9" w14:textId="1C26CFC0" w:rsidR="004B4293" w:rsidRPr="005F4AB5" w:rsidRDefault="004B4293" w:rsidP="000D58DB">
            <w:pPr>
              <w:pStyle w:val="ListParagraph"/>
              <w:widowControl/>
              <w:autoSpaceDE/>
              <w:autoSpaceDN/>
              <w:spacing w:line="276" w:lineRule="auto"/>
              <w:ind w:left="0" w:firstLine="0"/>
              <w:jc w:val="left"/>
            </w:pPr>
            <w:r w:rsidRPr="005F4AB5">
              <w:t>1,000</w:t>
            </w:r>
            <w:r w:rsidR="00177FEA" w:rsidRPr="005F4AB5">
              <w:t>-</w:t>
            </w:r>
            <w:r w:rsidRPr="005F4AB5">
              <w:t>1,499</w:t>
            </w:r>
          </w:p>
        </w:tc>
        <w:tc>
          <w:tcPr>
            <w:tcW w:w="2977" w:type="dxa"/>
          </w:tcPr>
          <w:p w14:paraId="1E74AE51" w14:textId="34DA663B" w:rsidR="004B4293" w:rsidRPr="005F4AB5" w:rsidRDefault="00C8272A" w:rsidP="000D58DB">
            <w:pPr>
              <w:pStyle w:val="ListParagraph"/>
              <w:widowControl/>
              <w:autoSpaceDE/>
              <w:autoSpaceDN/>
              <w:spacing w:line="276" w:lineRule="auto"/>
              <w:ind w:left="0" w:firstLine="0"/>
              <w:jc w:val="left"/>
            </w:pPr>
            <w:r w:rsidRPr="005F4AB5">
              <w:t>90</w:t>
            </w:r>
          </w:p>
        </w:tc>
      </w:tr>
      <w:tr w:rsidR="00A34DD5" w:rsidRPr="005F4AB5" w14:paraId="75F7AE78" w14:textId="77777777" w:rsidTr="004B4293">
        <w:tc>
          <w:tcPr>
            <w:tcW w:w="2954" w:type="dxa"/>
          </w:tcPr>
          <w:p w14:paraId="04817AC8" w14:textId="1CB6A1D4" w:rsidR="004B4293" w:rsidRPr="005F4AB5" w:rsidRDefault="004B4293" w:rsidP="000D58DB">
            <w:pPr>
              <w:pStyle w:val="ListParagraph"/>
              <w:widowControl/>
              <w:autoSpaceDE/>
              <w:autoSpaceDN/>
              <w:spacing w:line="276" w:lineRule="auto"/>
              <w:ind w:left="0" w:firstLine="0"/>
              <w:jc w:val="left"/>
            </w:pPr>
            <w:r w:rsidRPr="005F4AB5">
              <w:t>1,500</w:t>
            </w:r>
            <w:r w:rsidR="00177FEA" w:rsidRPr="005F4AB5">
              <w:t>-</w:t>
            </w:r>
            <w:r w:rsidRPr="005F4AB5">
              <w:t>1,999</w:t>
            </w:r>
          </w:p>
        </w:tc>
        <w:tc>
          <w:tcPr>
            <w:tcW w:w="2977" w:type="dxa"/>
          </w:tcPr>
          <w:p w14:paraId="764FFF07" w14:textId="0ADADEAC" w:rsidR="004B4293" w:rsidRPr="005F4AB5" w:rsidRDefault="00C8272A" w:rsidP="000D58DB">
            <w:pPr>
              <w:pStyle w:val="ListParagraph"/>
              <w:widowControl/>
              <w:autoSpaceDE/>
              <w:autoSpaceDN/>
              <w:spacing w:line="276" w:lineRule="auto"/>
              <w:ind w:left="0" w:firstLine="0"/>
              <w:jc w:val="left"/>
            </w:pPr>
            <w:r w:rsidRPr="005F4AB5">
              <w:t>110</w:t>
            </w:r>
          </w:p>
        </w:tc>
      </w:tr>
      <w:tr w:rsidR="00A34DD5" w:rsidRPr="005F4AB5" w14:paraId="183C428A" w14:textId="77777777" w:rsidTr="004B4293">
        <w:tc>
          <w:tcPr>
            <w:tcW w:w="2954" w:type="dxa"/>
          </w:tcPr>
          <w:p w14:paraId="39ED2668" w14:textId="2C95B7D9" w:rsidR="004B4293" w:rsidRPr="005F4AB5" w:rsidRDefault="004B4293" w:rsidP="000D58DB">
            <w:pPr>
              <w:pStyle w:val="ListParagraph"/>
              <w:widowControl/>
              <w:autoSpaceDE/>
              <w:autoSpaceDN/>
              <w:spacing w:line="276" w:lineRule="auto"/>
              <w:ind w:left="0" w:firstLine="0"/>
              <w:jc w:val="left"/>
            </w:pPr>
            <w:r w:rsidRPr="005F4AB5">
              <w:t>2000+</w:t>
            </w:r>
          </w:p>
        </w:tc>
        <w:tc>
          <w:tcPr>
            <w:tcW w:w="2977" w:type="dxa"/>
          </w:tcPr>
          <w:p w14:paraId="59E74483" w14:textId="1796A3A0" w:rsidR="004B4293" w:rsidRPr="005F4AB5" w:rsidRDefault="00C8272A" w:rsidP="000D58DB">
            <w:pPr>
              <w:pStyle w:val="ListParagraph"/>
              <w:widowControl/>
              <w:autoSpaceDE/>
              <w:autoSpaceDN/>
              <w:spacing w:line="276" w:lineRule="auto"/>
              <w:ind w:left="0" w:firstLine="0"/>
              <w:jc w:val="left"/>
            </w:pPr>
            <w:r w:rsidRPr="005F4AB5">
              <w:t>150</w:t>
            </w:r>
          </w:p>
        </w:tc>
      </w:tr>
    </w:tbl>
    <w:p w14:paraId="43196F20" w14:textId="77777777" w:rsidR="00BC6B15" w:rsidRPr="005F4AB5" w:rsidRDefault="00BC6B15" w:rsidP="000D58DB"/>
    <w:p w14:paraId="3B0C04B9" w14:textId="11F50076" w:rsidR="005D7D3C" w:rsidRPr="005F4AB5" w:rsidRDefault="00C8272A" w:rsidP="000D58DB">
      <w:pPr>
        <w:pStyle w:val="ListParagraph"/>
        <w:widowControl/>
        <w:numPr>
          <w:ilvl w:val="1"/>
          <w:numId w:val="7"/>
        </w:numPr>
        <w:autoSpaceDE/>
        <w:autoSpaceDN/>
        <w:spacing w:line="276" w:lineRule="auto"/>
        <w:ind w:hanging="720"/>
        <w:jc w:val="left"/>
      </w:pPr>
      <w:r w:rsidRPr="005F4AB5">
        <w:t xml:space="preserve">The Lichfield’s report </w:t>
      </w:r>
      <w:r w:rsidR="00177FEA" w:rsidRPr="005F4AB5">
        <w:t>does</w:t>
      </w:r>
      <w:r w:rsidRPr="005F4AB5">
        <w:t xml:space="preserve"> </w:t>
      </w:r>
      <w:r w:rsidR="00177FEA" w:rsidRPr="005F4AB5">
        <w:t xml:space="preserve">not </w:t>
      </w:r>
      <w:r w:rsidRPr="005F4AB5">
        <w:t xml:space="preserve">provide </w:t>
      </w:r>
      <w:r w:rsidR="00177FEA" w:rsidRPr="005F4AB5">
        <w:t>average build-out rate</w:t>
      </w:r>
      <w:r w:rsidR="004261CB" w:rsidRPr="005F4AB5">
        <w:t xml:space="preserve"> </w:t>
      </w:r>
      <w:r w:rsidR="00177FEA" w:rsidRPr="005F4AB5">
        <w:t>for</w:t>
      </w:r>
      <w:r w:rsidR="00BC6B15" w:rsidRPr="005F4AB5">
        <w:t xml:space="preserve"> major sites of 10-49 </w:t>
      </w:r>
      <w:r w:rsidRPr="005F4AB5">
        <w:t>dwellings,</w:t>
      </w:r>
      <w:r w:rsidR="00177FEA" w:rsidRPr="005F4AB5">
        <w:t xml:space="preserve"> and therefore</w:t>
      </w:r>
      <w:r w:rsidR="00BC6B15" w:rsidRPr="005F4AB5">
        <w:t xml:space="preserve"> </w:t>
      </w:r>
      <w:r w:rsidR="00177FEA" w:rsidRPr="005F4AB5">
        <w:t>Officers have applied</w:t>
      </w:r>
      <w:r w:rsidR="004073F2" w:rsidRPr="005F4AB5">
        <w:t xml:space="preserve"> a conservative approach of </w:t>
      </w:r>
      <w:r w:rsidR="00177FEA" w:rsidRPr="005F4AB5">
        <w:t>20 dwellings per annum</w:t>
      </w:r>
      <w:r w:rsidR="000A1387" w:rsidRPr="005F4AB5">
        <w:t xml:space="preserve"> (dpa)</w:t>
      </w:r>
      <w:r w:rsidR="00177FEA" w:rsidRPr="005F4AB5">
        <w:t xml:space="preserve"> where necessary. For sites of </w:t>
      </w:r>
      <w:r w:rsidR="0092548C" w:rsidRPr="005F4AB5">
        <w:t xml:space="preserve">100 to 499 dwellings, where we have not requested developer evidence, </w:t>
      </w:r>
      <w:r w:rsidR="00B6051B" w:rsidRPr="005F4AB5">
        <w:t>GCC</w:t>
      </w:r>
      <w:r w:rsidR="008B1431" w:rsidRPr="005F4AB5">
        <w:t xml:space="preserve"> </w:t>
      </w:r>
      <w:r w:rsidR="0092548C" w:rsidRPr="005F4AB5">
        <w:t>have applied</w:t>
      </w:r>
      <w:r w:rsidR="00990E1F" w:rsidRPr="005F4AB5">
        <w:t xml:space="preserve"> 49 dpa</w:t>
      </w:r>
      <w:r w:rsidR="0092548C" w:rsidRPr="005F4AB5">
        <w:t>.</w:t>
      </w:r>
      <w:r w:rsidR="00177FEA" w:rsidRPr="005F4AB5">
        <w:t xml:space="preserve"> </w:t>
      </w:r>
      <w:r w:rsidR="006A576E" w:rsidRPr="005F4AB5">
        <w:t xml:space="preserve"> </w:t>
      </w:r>
    </w:p>
    <w:p w14:paraId="571E1342" w14:textId="77777777" w:rsidR="005D7D3C" w:rsidRPr="005F4AB5" w:rsidRDefault="005D7D3C" w:rsidP="000D58DB">
      <w:pPr>
        <w:pStyle w:val="ListParagraph"/>
        <w:jc w:val="left"/>
      </w:pPr>
    </w:p>
    <w:p w14:paraId="0A38760A" w14:textId="5BDB1CEA" w:rsidR="00CA01DA" w:rsidRPr="005F4AB5" w:rsidRDefault="0031270F" w:rsidP="008218EB">
      <w:pPr>
        <w:pStyle w:val="ListParagraph"/>
        <w:widowControl/>
        <w:numPr>
          <w:ilvl w:val="1"/>
          <w:numId w:val="7"/>
        </w:numPr>
        <w:autoSpaceDE/>
        <w:autoSpaceDN/>
        <w:spacing w:line="276" w:lineRule="auto"/>
        <w:ind w:hanging="720"/>
        <w:jc w:val="left"/>
      </w:pPr>
      <w:r w:rsidRPr="005F4AB5">
        <w:t>For schemes of 100 to 499</w:t>
      </w:r>
      <w:r w:rsidR="008B1431" w:rsidRPr="005F4AB5">
        <w:t xml:space="preserve"> dwellings</w:t>
      </w:r>
      <w:r w:rsidRPr="005F4AB5">
        <w:t>, the JCS</w:t>
      </w:r>
      <w:r w:rsidR="00F72447" w:rsidRPr="005F4AB5">
        <w:t xml:space="preserve"> Strategic Assessment of Land Availability</w:t>
      </w:r>
      <w:r w:rsidRPr="005F4AB5">
        <w:t xml:space="preserve"> </w:t>
      </w:r>
      <w:r w:rsidR="00F72447" w:rsidRPr="005F4AB5">
        <w:t>(</w:t>
      </w:r>
      <w:r w:rsidRPr="005F4AB5">
        <w:t>SALA</w:t>
      </w:r>
      <w:r w:rsidR="00F72447" w:rsidRPr="005F4AB5">
        <w:t>)</w:t>
      </w:r>
      <w:r w:rsidR="00B6051B" w:rsidRPr="005F4AB5">
        <w:t xml:space="preserve"> </w:t>
      </w:r>
      <w:r w:rsidR="00F72447" w:rsidRPr="005F4AB5">
        <w:t>/</w:t>
      </w:r>
      <w:r w:rsidR="00B6051B" w:rsidRPr="005F4AB5">
        <w:t xml:space="preserve"> </w:t>
      </w:r>
      <w:r w:rsidR="00F72447" w:rsidRPr="005F4AB5">
        <w:t>Housing Economic Land Availability Assessment (</w:t>
      </w:r>
      <w:r w:rsidRPr="005F4AB5">
        <w:t>HELAA</w:t>
      </w:r>
      <w:r w:rsidR="00F72447" w:rsidRPr="005F4AB5">
        <w:t>)</w:t>
      </w:r>
      <w:r w:rsidRPr="005F4AB5">
        <w:t xml:space="preserve"> methodology assume</w:t>
      </w:r>
      <w:r w:rsidR="00B6051B" w:rsidRPr="005F4AB5">
        <w:t>s</w:t>
      </w:r>
      <w:r w:rsidRPr="005F4AB5">
        <w:t xml:space="preserve"> that in the first year of building only 25 units per year </w:t>
      </w:r>
      <w:r w:rsidR="001358FB" w:rsidRPr="005F4AB5">
        <w:t xml:space="preserve">will likely be </w:t>
      </w:r>
      <w:r w:rsidRPr="005F4AB5">
        <w:t>delivered. This assumption reflect</w:t>
      </w:r>
      <w:r w:rsidR="00CF006B" w:rsidRPr="005F4AB5">
        <w:t>s</w:t>
      </w:r>
      <w:r w:rsidRPr="005F4AB5">
        <w:t xml:space="preserve"> the situation on the ground</w:t>
      </w:r>
      <w:r w:rsidR="00CF006B" w:rsidRPr="005F4AB5">
        <w:t xml:space="preserve"> </w:t>
      </w:r>
      <w:r w:rsidR="001358FB" w:rsidRPr="005F4AB5">
        <w:t xml:space="preserve">and as </w:t>
      </w:r>
      <w:r w:rsidRPr="005F4AB5">
        <w:t xml:space="preserve">such, for these sites </w:t>
      </w:r>
      <w:r w:rsidR="00B6051B" w:rsidRPr="005F4AB5">
        <w:t xml:space="preserve">GCC </w:t>
      </w:r>
      <w:r w:rsidRPr="005F4AB5">
        <w:t xml:space="preserve">have </w:t>
      </w:r>
      <w:r w:rsidR="00D1571A" w:rsidRPr="005F4AB5">
        <w:t xml:space="preserve">continued to apply </w:t>
      </w:r>
      <w:r w:rsidRPr="005F4AB5">
        <w:t>25 dpa for</w:t>
      </w:r>
      <w:r w:rsidR="00BA65DC" w:rsidRPr="005F4AB5">
        <w:t xml:space="preserve"> the</w:t>
      </w:r>
      <w:r w:rsidRPr="005F4AB5">
        <w:t xml:space="preserve"> </w:t>
      </w:r>
      <w:r w:rsidR="00BA65DC" w:rsidRPr="005F4AB5">
        <w:t>first year</w:t>
      </w:r>
      <w:r w:rsidRPr="005F4AB5">
        <w:t xml:space="preserve"> and 49 dpa for subsequent years.</w:t>
      </w:r>
    </w:p>
    <w:p w14:paraId="6F25A4FA" w14:textId="77777777" w:rsidR="00CA01DA" w:rsidRPr="005F4AB5" w:rsidRDefault="00CA01DA" w:rsidP="000D58DB">
      <w:pPr>
        <w:widowControl/>
        <w:autoSpaceDE/>
        <w:autoSpaceDN/>
        <w:spacing w:line="276" w:lineRule="auto"/>
      </w:pPr>
    </w:p>
    <w:p w14:paraId="1CDFDFE5" w14:textId="77777777" w:rsidR="000D58DB" w:rsidRPr="005F4AB5" w:rsidRDefault="000D58DB">
      <w:pPr>
        <w:rPr>
          <w:rFonts w:asciiTheme="minorHAnsi" w:eastAsiaTheme="minorEastAsia" w:hAnsiTheme="minorHAnsi" w:cstheme="minorHAnsi"/>
          <w:b/>
          <w:sz w:val="28"/>
          <w:szCs w:val="6"/>
          <w:lang w:eastAsia="ja-JP"/>
        </w:rPr>
      </w:pPr>
      <w:r w:rsidRPr="005F4AB5">
        <w:br w:type="page"/>
      </w:r>
    </w:p>
    <w:p w14:paraId="1504BF73" w14:textId="156C7092" w:rsidR="00865B58" w:rsidRPr="005F4AB5" w:rsidRDefault="000D58DB" w:rsidP="0084751A">
      <w:pPr>
        <w:pStyle w:val="Heading2"/>
        <w:ind w:hanging="720"/>
        <w:rPr>
          <w:color w:val="auto"/>
        </w:rPr>
      </w:pPr>
      <w:bookmarkStart w:id="81" w:name="_Toc210303307"/>
      <w:bookmarkStart w:id="82" w:name="_Toc210308098"/>
      <w:r w:rsidRPr="005F4AB5">
        <w:rPr>
          <w:color w:val="auto"/>
        </w:rPr>
        <w:lastRenderedPageBreak/>
        <w:t xml:space="preserve">Five-year housing land supply calculation at 31 </w:t>
      </w:r>
      <w:r w:rsidR="00333E40" w:rsidRPr="005F4AB5">
        <w:rPr>
          <w:color w:val="auto"/>
        </w:rPr>
        <w:t>M</w:t>
      </w:r>
      <w:r w:rsidRPr="005F4AB5">
        <w:rPr>
          <w:color w:val="auto"/>
        </w:rPr>
        <w:t xml:space="preserve">arch </w:t>
      </w:r>
      <w:r w:rsidR="00333E40" w:rsidRPr="005F4AB5">
        <w:rPr>
          <w:color w:val="auto"/>
        </w:rPr>
        <w:t>2025</w:t>
      </w:r>
      <w:bookmarkEnd w:id="81"/>
      <w:bookmarkEnd w:id="82"/>
    </w:p>
    <w:p w14:paraId="6935F8E5" w14:textId="6C04ACB3" w:rsidR="00865B58" w:rsidRPr="005F4AB5" w:rsidRDefault="00865B58" w:rsidP="000D58DB">
      <w:pPr>
        <w:pStyle w:val="ListParagraph"/>
        <w:numPr>
          <w:ilvl w:val="1"/>
          <w:numId w:val="7"/>
        </w:numPr>
        <w:spacing w:line="276" w:lineRule="auto"/>
        <w:ind w:left="709" w:right="312" w:hanging="709"/>
        <w:jc w:val="left"/>
        <w:rPr>
          <w:szCs w:val="24"/>
        </w:rPr>
      </w:pPr>
      <w:r w:rsidRPr="005F4AB5">
        <w:rPr>
          <w:szCs w:val="24"/>
        </w:rPr>
        <w:t>The five-year land supply calculation</w:t>
      </w:r>
      <w:r w:rsidR="00701CC6" w:rsidRPr="005F4AB5">
        <w:rPr>
          <w:szCs w:val="24"/>
        </w:rPr>
        <w:t xml:space="preserve"> is shown in </w:t>
      </w:r>
      <w:r w:rsidR="00701CC6" w:rsidRPr="005F4AB5">
        <w:rPr>
          <w:szCs w:val="24"/>
        </w:rPr>
        <w:fldChar w:fldCharType="begin"/>
      </w:r>
      <w:r w:rsidR="00701CC6" w:rsidRPr="005F4AB5">
        <w:rPr>
          <w:szCs w:val="24"/>
        </w:rPr>
        <w:instrText xml:space="preserve"> REF _Ref121390194 \h </w:instrText>
      </w:r>
      <w:r w:rsidR="00A36FD7" w:rsidRPr="005F4AB5">
        <w:rPr>
          <w:szCs w:val="24"/>
        </w:rPr>
        <w:instrText xml:space="preserve"> \* MERGEFORMAT </w:instrText>
      </w:r>
      <w:r w:rsidR="00701CC6" w:rsidRPr="005F4AB5">
        <w:rPr>
          <w:szCs w:val="24"/>
        </w:rPr>
      </w:r>
      <w:r w:rsidR="00701CC6" w:rsidRPr="005F4AB5">
        <w:rPr>
          <w:szCs w:val="24"/>
        </w:rPr>
        <w:fldChar w:fldCharType="separate"/>
      </w:r>
      <w:r w:rsidR="00033F80" w:rsidRPr="005F4AB5">
        <w:rPr>
          <w:b/>
          <w:bCs/>
          <w:szCs w:val="24"/>
        </w:rPr>
        <w:t xml:space="preserve">Figure </w:t>
      </w:r>
      <w:r w:rsidR="00033F80">
        <w:rPr>
          <w:b/>
          <w:bCs/>
          <w:noProof/>
          <w:szCs w:val="24"/>
        </w:rPr>
        <w:t>8</w:t>
      </w:r>
      <w:r w:rsidR="00701CC6" w:rsidRPr="005F4AB5">
        <w:rPr>
          <w:szCs w:val="24"/>
        </w:rPr>
        <w:fldChar w:fldCharType="end"/>
      </w:r>
      <w:r w:rsidR="00701CC6" w:rsidRPr="005F4AB5">
        <w:rPr>
          <w:szCs w:val="24"/>
        </w:rPr>
        <w:t xml:space="preserve">. </w:t>
      </w:r>
      <w:r w:rsidRPr="005F4AB5">
        <w:rPr>
          <w:szCs w:val="24"/>
        </w:rPr>
        <w:t>This</w:t>
      </w:r>
      <w:r w:rsidRPr="005F4AB5">
        <w:rPr>
          <w:spacing w:val="1"/>
          <w:szCs w:val="24"/>
        </w:rPr>
        <w:t xml:space="preserve"> </w:t>
      </w:r>
      <w:r w:rsidRPr="005F4AB5">
        <w:rPr>
          <w:szCs w:val="24"/>
        </w:rPr>
        <w:t xml:space="preserve">demonstrates that </w:t>
      </w:r>
      <w:r w:rsidR="00A83252" w:rsidRPr="005F4AB5">
        <w:rPr>
          <w:szCs w:val="24"/>
        </w:rPr>
        <w:t>GCC</w:t>
      </w:r>
      <w:r w:rsidR="00970AD7" w:rsidRPr="005F4AB5">
        <w:rPr>
          <w:szCs w:val="24"/>
        </w:rPr>
        <w:t xml:space="preserve"> </w:t>
      </w:r>
      <w:r w:rsidRPr="005F4AB5">
        <w:rPr>
          <w:szCs w:val="24"/>
        </w:rPr>
        <w:t xml:space="preserve">can demonstrate </w:t>
      </w:r>
      <w:r w:rsidR="00701CC6" w:rsidRPr="005F4AB5">
        <w:rPr>
          <w:szCs w:val="24"/>
        </w:rPr>
        <w:t xml:space="preserve">a </w:t>
      </w:r>
      <w:r w:rsidR="000119AE" w:rsidRPr="000119AE">
        <w:rPr>
          <w:b/>
          <w:bCs/>
          <w:szCs w:val="24"/>
        </w:rPr>
        <w:t xml:space="preserve">3.1 </w:t>
      </w:r>
      <w:r w:rsidR="00A22E9E" w:rsidRPr="000119AE">
        <w:rPr>
          <w:b/>
          <w:bCs/>
          <w:szCs w:val="24"/>
        </w:rPr>
        <w:t>years’</w:t>
      </w:r>
      <w:r w:rsidR="00A22E9E" w:rsidRPr="005F4AB5">
        <w:rPr>
          <w:b/>
          <w:bCs/>
          <w:szCs w:val="24"/>
        </w:rPr>
        <w:t xml:space="preserve"> </w:t>
      </w:r>
      <w:r w:rsidRPr="005F4AB5">
        <w:rPr>
          <w:szCs w:val="24"/>
        </w:rPr>
        <w:t>supply of</w:t>
      </w:r>
      <w:r w:rsidR="0027605B" w:rsidRPr="005F4AB5">
        <w:rPr>
          <w:szCs w:val="24"/>
        </w:rPr>
        <w:t xml:space="preserve"> housing land</w:t>
      </w:r>
      <w:r w:rsidR="00A22E9E" w:rsidRPr="005F4AB5">
        <w:rPr>
          <w:szCs w:val="24"/>
        </w:rPr>
        <w:t>.</w:t>
      </w:r>
    </w:p>
    <w:p w14:paraId="27189505" w14:textId="77777777" w:rsidR="00960297" w:rsidRPr="005F4AB5" w:rsidRDefault="00960297" w:rsidP="000D58DB">
      <w:pPr>
        <w:pStyle w:val="BodyText"/>
        <w:rPr>
          <w:b/>
          <w:bCs/>
          <w:sz w:val="20"/>
        </w:rPr>
      </w:pPr>
      <w:bookmarkStart w:id="83" w:name="1.1_Planning_Context"/>
      <w:bookmarkEnd w:id="83"/>
    </w:p>
    <w:p w14:paraId="43366D8E" w14:textId="00E1C2CD" w:rsidR="003946E5" w:rsidRPr="005F4AB5" w:rsidRDefault="003946E5" w:rsidP="000D58DB">
      <w:pPr>
        <w:ind w:firstLine="709"/>
        <w:rPr>
          <w:b/>
          <w:bCs/>
          <w:szCs w:val="24"/>
        </w:rPr>
      </w:pPr>
      <w:bookmarkStart w:id="84" w:name="_Ref121390194"/>
      <w:bookmarkStart w:id="85" w:name="_Ref121734014"/>
      <w:bookmarkStart w:id="86" w:name="_Ref121734019"/>
      <w:bookmarkStart w:id="87" w:name="_Ref135646061"/>
      <w:bookmarkStart w:id="88" w:name="_Toc208233938"/>
      <w:r w:rsidRPr="005F4AB5">
        <w:rPr>
          <w:b/>
          <w:bCs/>
          <w:szCs w:val="24"/>
        </w:rPr>
        <w:t xml:space="preserve">Figure </w:t>
      </w:r>
      <w:r w:rsidRPr="005F4AB5">
        <w:rPr>
          <w:b/>
          <w:bCs/>
          <w:i/>
          <w:szCs w:val="24"/>
        </w:rPr>
        <w:fldChar w:fldCharType="begin"/>
      </w:r>
      <w:r w:rsidRPr="005F4AB5">
        <w:rPr>
          <w:b/>
          <w:bCs/>
          <w:szCs w:val="24"/>
        </w:rPr>
        <w:instrText xml:space="preserve"> SEQ Figure \* ARABIC </w:instrText>
      </w:r>
      <w:r w:rsidRPr="005F4AB5">
        <w:rPr>
          <w:b/>
          <w:bCs/>
          <w:i/>
          <w:szCs w:val="24"/>
        </w:rPr>
        <w:fldChar w:fldCharType="separate"/>
      </w:r>
      <w:r w:rsidR="00033F80">
        <w:rPr>
          <w:b/>
          <w:bCs/>
          <w:noProof/>
          <w:szCs w:val="24"/>
        </w:rPr>
        <w:t>8</w:t>
      </w:r>
      <w:r w:rsidRPr="005F4AB5">
        <w:rPr>
          <w:b/>
          <w:bCs/>
          <w:i/>
          <w:szCs w:val="24"/>
        </w:rPr>
        <w:fldChar w:fldCharType="end"/>
      </w:r>
      <w:bookmarkEnd w:id="84"/>
      <w:bookmarkEnd w:id="85"/>
      <w:r w:rsidRPr="005F4AB5">
        <w:rPr>
          <w:b/>
          <w:bCs/>
          <w:szCs w:val="24"/>
        </w:rPr>
        <w:t xml:space="preserve">: </w:t>
      </w:r>
      <w:r w:rsidR="004314EA" w:rsidRPr="005F4AB5">
        <w:rPr>
          <w:b/>
          <w:bCs/>
          <w:szCs w:val="24"/>
        </w:rPr>
        <w:t xml:space="preserve">Five Year </w:t>
      </w:r>
      <w:r w:rsidRPr="005F4AB5">
        <w:rPr>
          <w:b/>
          <w:bCs/>
          <w:szCs w:val="24"/>
        </w:rPr>
        <w:t xml:space="preserve">Housing Land Supply </w:t>
      </w:r>
      <w:r w:rsidR="00D929AD" w:rsidRPr="005F4AB5">
        <w:rPr>
          <w:b/>
          <w:bCs/>
          <w:szCs w:val="24"/>
        </w:rPr>
        <w:t xml:space="preserve">Calculation </w:t>
      </w:r>
      <w:r w:rsidRPr="005F4AB5">
        <w:rPr>
          <w:b/>
          <w:bCs/>
          <w:szCs w:val="24"/>
        </w:rPr>
        <w:t xml:space="preserve">at 31 March </w:t>
      </w:r>
      <w:bookmarkEnd w:id="86"/>
      <w:bookmarkEnd w:id="87"/>
      <w:r w:rsidR="006C0B8A" w:rsidRPr="005F4AB5">
        <w:rPr>
          <w:b/>
          <w:bCs/>
          <w:szCs w:val="24"/>
        </w:rPr>
        <w:t>202</w:t>
      </w:r>
      <w:r w:rsidR="00E84989" w:rsidRPr="005F4AB5">
        <w:rPr>
          <w:b/>
          <w:bCs/>
          <w:szCs w:val="24"/>
        </w:rPr>
        <w:t>5</w:t>
      </w:r>
      <w:bookmarkEnd w:id="88"/>
    </w:p>
    <w:p w14:paraId="2E9A3630" w14:textId="77777777" w:rsidR="00DA5AD9" w:rsidRPr="005F4AB5" w:rsidRDefault="00DA5AD9" w:rsidP="000D58DB">
      <w:pPr>
        <w:ind w:firstLine="709"/>
        <w:rPr>
          <w:i/>
          <w:szCs w:val="24"/>
        </w:rPr>
      </w:pPr>
    </w:p>
    <w:tbl>
      <w:tblPr>
        <w:tblW w:w="49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7087"/>
        <w:gridCol w:w="1706"/>
      </w:tblGrid>
      <w:tr w:rsidR="00A34DD5" w:rsidRPr="005F4AB5" w14:paraId="7E52F2B3" w14:textId="77777777" w:rsidTr="00524E73">
        <w:trPr>
          <w:cantSplit/>
          <w:trHeight w:val="192"/>
          <w:tblHeader/>
        </w:trPr>
        <w:tc>
          <w:tcPr>
            <w:tcW w:w="439" w:type="pct"/>
          </w:tcPr>
          <w:p w14:paraId="5CD3663C" w14:textId="5C412B6E" w:rsidR="00A36FD7" w:rsidRPr="005F4AB5" w:rsidRDefault="00A36FD7" w:rsidP="00435130">
            <w:pPr>
              <w:widowControl/>
              <w:autoSpaceDE/>
              <w:autoSpaceDN/>
              <w:ind w:right="135"/>
              <w:jc w:val="center"/>
              <w:rPr>
                <w:rFonts w:eastAsia="Times New Roman"/>
                <w:b/>
                <w:bCs/>
                <w:szCs w:val="24"/>
                <w:lang w:val="en-GB" w:eastAsia="en-GB"/>
              </w:rPr>
            </w:pPr>
            <w:bookmarkStart w:id="89" w:name="_Hlk173167527"/>
            <w:r w:rsidRPr="005F4AB5">
              <w:rPr>
                <w:rFonts w:eastAsia="Times New Roman"/>
                <w:b/>
                <w:bCs/>
                <w:szCs w:val="24"/>
                <w:lang w:val="en-GB" w:eastAsia="en-GB"/>
              </w:rPr>
              <w:t>Row</w:t>
            </w:r>
          </w:p>
        </w:tc>
        <w:tc>
          <w:tcPr>
            <w:tcW w:w="3676" w:type="pct"/>
          </w:tcPr>
          <w:p w14:paraId="33ADDD1E" w14:textId="4C3BAAFA" w:rsidR="00A36FD7" w:rsidRPr="005F4AB5" w:rsidRDefault="00A36FD7" w:rsidP="00435130">
            <w:pPr>
              <w:widowControl/>
              <w:autoSpaceDE/>
              <w:autoSpaceDN/>
              <w:ind w:right="135"/>
              <w:jc w:val="center"/>
              <w:rPr>
                <w:b/>
                <w:sz w:val="20"/>
              </w:rPr>
            </w:pPr>
            <w:r w:rsidRPr="005F4AB5">
              <w:rPr>
                <w:rFonts w:eastAsia="Times New Roman"/>
                <w:b/>
                <w:bCs/>
                <w:szCs w:val="24"/>
                <w:lang w:val="en-GB" w:eastAsia="en-GB"/>
              </w:rPr>
              <w:t xml:space="preserve">Component (for 1 April </w:t>
            </w:r>
            <w:r w:rsidR="006C0B8A" w:rsidRPr="005F4AB5">
              <w:rPr>
                <w:rFonts w:eastAsia="Times New Roman"/>
                <w:b/>
                <w:bCs/>
                <w:szCs w:val="24"/>
                <w:lang w:val="en-GB" w:eastAsia="en-GB"/>
              </w:rPr>
              <w:t>202</w:t>
            </w:r>
            <w:r w:rsidR="00751329">
              <w:rPr>
                <w:rFonts w:eastAsia="Times New Roman"/>
                <w:b/>
                <w:bCs/>
                <w:szCs w:val="24"/>
                <w:lang w:val="en-GB" w:eastAsia="en-GB"/>
              </w:rPr>
              <w:t>5</w:t>
            </w:r>
            <w:r w:rsidR="006C0B8A" w:rsidRPr="005F4AB5">
              <w:rPr>
                <w:rFonts w:eastAsia="Times New Roman"/>
                <w:b/>
                <w:bCs/>
                <w:szCs w:val="24"/>
                <w:lang w:val="en-GB" w:eastAsia="en-GB"/>
              </w:rPr>
              <w:t xml:space="preserve"> </w:t>
            </w:r>
            <w:r w:rsidRPr="005F4AB5">
              <w:rPr>
                <w:rFonts w:eastAsia="Times New Roman"/>
                <w:b/>
                <w:bCs/>
                <w:szCs w:val="24"/>
                <w:lang w:val="en-GB" w:eastAsia="en-GB"/>
              </w:rPr>
              <w:t xml:space="preserve">to 31 March </w:t>
            </w:r>
            <w:r w:rsidR="006C0B8A" w:rsidRPr="005F4AB5">
              <w:rPr>
                <w:rFonts w:eastAsia="Times New Roman"/>
                <w:b/>
                <w:bCs/>
                <w:szCs w:val="24"/>
                <w:lang w:val="en-GB" w:eastAsia="en-GB"/>
              </w:rPr>
              <w:t>20</w:t>
            </w:r>
            <w:r w:rsidR="00751329">
              <w:rPr>
                <w:rFonts w:eastAsia="Times New Roman"/>
                <w:b/>
                <w:bCs/>
                <w:szCs w:val="24"/>
                <w:lang w:val="en-GB" w:eastAsia="en-GB"/>
              </w:rPr>
              <w:t>30</w:t>
            </w:r>
            <w:r w:rsidRPr="005F4AB5">
              <w:rPr>
                <w:rFonts w:eastAsia="Times New Roman"/>
                <w:b/>
                <w:bCs/>
                <w:szCs w:val="24"/>
                <w:lang w:val="en-GB" w:eastAsia="en-GB"/>
              </w:rPr>
              <w:t>)</w:t>
            </w:r>
          </w:p>
        </w:tc>
        <w:tc>
          <w:tcPr>
            <w:tcW w:w="885" w:type="pct"/>
          </w:tcPr>
          <w:p w14:paraId="556E2A20" w14:textId="28398674" w:rsidR="00A36FD7" w:rsidRPr="005F4AB5" w:rsidRDefault="00A36FD7" w:rsidP="00435130">
            <w:pPr>
              <w:widowControl/>
              <w:autoSpaceDE/>
              <w:autoSpaceDN/>
              <w:jc w:val="center"/>
              <w:rPr>
                <w:b/>
                <w:sz w:val="20"/>
              </w:rPr>
            </w:pPr>
            <w:r w:rsidRPr="005F4AB5">
              <w:rPr>
                <w:rFonts w:eastAsia="Times New Roman"/>
                <w:b/>
                <w:bCs/>
                <w:szCs w:val="24"/>
                <w:lang w:val="en-GB" w:eastAsia="en-GB"/>
              </w:rPr>
              <w:t>Total</w:t>
            </w:r>
          </w:p>
        </w:tc>
      </w:tr>
      <w:tr w:rsidR="00A34DD5" w:rsidRPr="005F4AB5" w14:paraId="2B66B5DA" w14:textId="77777777" w:rsidTr="00180420">
        <w:trPr>
          <w:cantSplit/>
          <w:trHeight w:val="483"/>
          <w:tblHeader/>
        </w:trPr>
        <w:tc>
          <w:tcPr>
            <w:tcW w:w="439" w:type="pct"/>
          </w:tcPr>
          <w:p w14:paraId="3DF9D361" w14:textId="4E043BEC" w:rsidR="00A36FD7" w:rsidRPr="005F4AB5" w:rsidRDefault="00A36FD7" w:rsidP="00435130">
            <w:pPr>
              <w:widowControl/>
              <w:autoSpaceDE/>
              <w:autoSpaceDN/>
              <w:jc w:val="center"/>
              <w:rPr>
                <w:rFonts w:eastAsia="Times New Roman"/>
                <w:szCs w:val="24"/>
                <w:lang w:val="en-GB" w:eastAsia="en-GB"/>
              </w:rPr>
            </w:pPr>
            <w:r w:rsidRPr="005F4AB5">
              <w:rPr>
                <w:rFonts w:eastAsia="Times New Roman"/>
                <w:szCs w:val="24"/>
                <w:lang w:val="en-GB" w:eastAsia="en-GB"/>
              </w:rPr>
              <w:t>1</w:t>
            </w:r>
          </w:p>
        </w:tc>
        <w:tc>
          <w:tcPr>
            <w:tcW w:w="3676" w:type="pct"/>
          </w:tcPr>
          <w:p w14:paraId="3EC8B3B9" w14:textId="4B2BF639" w:rsidR="00A36FD7" w:rsidRPr="005F4AB5" w:rsidRDefault="000D58DB" w:rsidP="00435130">
            <w:pPr>
              <w:widowControl/>
              <w:autoSpaceDE/>
              <w:autoSpaceDN/>
              <w:jc w:val="center"/>
              <w:rPr>
                <w:rFonts w:eastAsia="Times New Roman"/>
                <w:szCs w:val="24"/>
                <w:lang w:val="en-GB" w:eastAsia="en-GB"/>
              </w:rPr>
            </w:pPr>
            <w:r w:rsidRPr="005F4AB5">
              <w:rPr>
                <w:rFonts w:eastAsia="Times New Roman"/>
                <w:szCs w:val="24"/>
                <w:lang w:val="en-GB" w:eastAsia="en-GB"/>
              </w:rPr>
              <w:t>Five-</w:t>
            </w:r>
            <w:r w:rsidR="00A36FD7" w:rsidRPr="005F4AB5">
              <w:rPr>
                <w:rFonts w:eastAsia="Times New Roman"/>
                <w:szCs w:val="24"/>
                <w:lang w:val="en-GB" w:eastAsia="en-GB"/>
              </w:rPr>
              <w:t>year housing requirement</w:t>
            </w:r>
            <w:r w:rsidR="00564D59" w:rsidRPr="005F4AB5">
              <w:rPr>
                <w:rFonts w:eastAsia="Times New Roman"/>
                <w:szCs w:val="24"/>
                <w:lang w:val="en-GB" w:eastAsia="en-GB"/>
              </w:rPr>
              <w:t xml:space="preserve"> with </w:t>
            </w:r>
            <w:r w:rsidR="00A83252" w:rsidRPr="005F4AB5">
              <w:rPr>
                <w:rFonts w:eastAsia="Times New Roman"/>
                <w:szCs w:val="24"/>
                <w:lang w:val="en-GB" w:eastAsia="en-GB"/>
              </w:rPr>
              <w:t>5</w:t>
            </w:r>
            <w:r w:rsidR="00AC7DD1" w:rsidRPr="005F4AB5">
              <w:rPr>
                <w:rFonts w:eastAsia="Times New Roman"/>
                <w:szCs w:val="24"/>
                <w:lang w:val="en-GB" w:eastAsia="en-GB"/>
              </w:rPr>
              <w:t>% buffer</w:t>
            </w:r>
          </w:p>
        </w:tc>
        <w:tc>
          <w:tcPr>
            <w:tcW w:w="885" w:type="pct"/>
          </w:tcPr>
          <w:p w14:paraId="057317DA" w14:textId="665A562B" w:rsidR="00A36FD7" w:rsidRPr="005F4AB5" w:rsidRDefault="0067025D" w:rsidP="00180420">
            <w:pPr>
              <w:pStyle w:val="TableParagraph"/>
              <w:spacing w:before="11" w:line="223" w:lineRule="exact"/>
              <w:ind w:left="0"/>
              <w:rPr>
                <w:szCs w:val="24"/>
              </w:rPr>
            </w:pPr>
            <w:r w:rsidRPr="005F4AB5">
              <w:rPr>
                <w:szCs w:val="24"/>
              </w:rPr>
              <w:t>3</w:t>
            </w:r>
            <w:r w:rsidR="003D0A8A" w:rsidRPr="005F4AB5">
              <w:rPr>
                <w:szCs w:val="24"/>
              </w:rPr>
              <w:t>,</w:t>
            </w:r>
            <w:r w:rsidRPr="005F4AB5">
              <w:rPr>
                <w:szCs w:val="24"/>
              </w:rPr>
              <w:t>675</w:t>
            </w:r>
          </w:p>
        </w:tc>
      </w:tr>
      <w:tr w:rsidR="00A34DD5" w:rsidRPr="005F4AB5" w14:paraId="2FBAE6CF" w14:textId="77777777" w:rsidTr="00180420">
        <w:trPr>
          <w:cantSplit/>
          <w:trHeight w:val="522"/>
          <w:tblHeader/>
        </w:trPr>
        <w:tc>
          <w:tcPr>
            <w:tcW w:w="439" w:type="pct"/>
          </w:tcPr>
          <w:p w14:paraId="0AFE9A50" w14:textId="5FA6E44F" w:rsidR="00A36FD7" w:rsidRPr="005F4AB5" w:rsidRDefault="00A36FD7" w:rsidP="00435130">
            <w:pPr>
              <w:widowControl/>
              <w:autoSpaceDE/>
              <w:autoSpaceDN/>
              <w:jc w:val="center"/>
              <w:rPr>
                <w:rFonts w:eastAsia="Times New Roman"/>
                <w:szCs w:val="24"/>
                <w:lang w:val="en-GB" w:eastAsia="en-GB"/>
              </w:rPr>
            </w:pPr>
            <w:r w:rsidRPr="005F4AB5">
              <w:rPr>
                <w:rFonts w:eastAsia="Times New Roman"/>
                <w:szCs w:val="24"/>
                <w:lang w:val="en-GB" w:eastAsia="en-GB"/>
              </w:rPr>
              <w:t>2</w:t>
            </w:r>
          </w:p>
        </w:tc>
        <w:tc>
          <w:tcPr>
            <w:tcW w:w="3676" w:type="pct"/>
          </w:tcPr>
          <w:p w14:paraId="1756B758" w14:textId="7091CBAF" w:rsidR="00A36FD7" w:rsidRPr="005F4AB5" w:rsidRDefault="00A36FD7" w:rsidP="00435130">
            <w:pPr>
              <w:widowControl/>
              <w:autoSpaceDE/>
              <w:autoSpaceDN/>
              <w:jc w:val="center"/>
              <w:rPr>
                <w:rFonts w:eastAsia="Times New Roman"/>
                <w:szCs w:val="24"/>
                <w:lang w:val="en-GB" w:eastAsia="en-GB"/>
              </w:rPr>
            </w:pPr>
            <w:r w:rsidRPr="005F4AB5">
              <w:rPr>
                <w:rFonts w:eastAsia="Times New Roman"/>
                <w:szCs w:val="24"/>
                <w:lang w:val="en-GB" w:eastAsia="en-GB"/>
              </w:rPr>
              <w:t xml:space="preserve">Annual rate for </w:t>
            </w:r>
            <w:r w:rsidR="000D58DB" w:rsidRPr="005F4AB5">
              <w:rPr>
                <w:rFonts w:eastAsia="Times New Roman"/>
                <w:szCs w:val="24"/>
                <w:lang w:val="en-GB" w:eastAsia="en-GB"/>
              </w:rPr>
              <w:t>five-</w:t>
            </w:r>
            <w:r w:rsidRPr="005F4AB5">
              <w:rPr>
                <w:rFonts w:eastAsia="Times New Roman"/>
                <w:szCs w:val="24"/>
                <w:lang w:val="en-GB" w:eastAsia="en-GB"/>
              </w:rPr>
              <w:t>year requirement</w:t>
            </w:r>
            <w:r w:rsidR="00FF0847" w:rsidRPr="005F4AB5">
              <w:rPr>
                <w:rFonts w:eastAsia="Times New Roman"/>
                <w:szCs w:val="24"/>
                <w:lang w:val="en-GB" w:eastAsia="en-GB"/>
              </w:rPr>
              <w:t xml:space="preserve"> with </w:t>
            </w:r>
            <w:r w:rsidR="0067025D" w:rsidRPr="005F4AB5">
              <w:rPr>
                <w:rFonts w:eastAsia="Times New Roman"/>
                <w:szCs w:val="24"/>
                <w:lang w:val="en-GB" w:eastAsia="en-GB"/>
              </w:rPr>
              <w:t>5%</w:t>
            </w:r>
            <w:r w:rsidR="00FF0847" w:rsidRPr="005F4AB5">
              <w:rPr>
                <w:rFonts w:eastAsia="Times New Roman"/>
                <w:szCs w:val="24"/>
                <w:lang w:val="en-GB" w:eastAsia="en-GB"/>
              </w:rPr>
              <w:t xml:space="preserve"> buffer</w:t>
            </w:r>
          </w:p>
        </w:tc>
        <w:tc>
          <w:tcPr>
            <w:tcW w:w="885" w:type="pct"/>
          </w:tcPr>
          <w:p w14:paraId="74C4749F" w14:textId="0ACFFE23" w:rsidR="00A36FD7" w:rsidRPr="005F4AB5" w:rsidRDefault="0067025D" w:rsidP="00180420">
            <w:pPr>
              <w:pStyle w:val="TableParagraph"/>
              <w:spacing w:before="11" w:line="223" w:lineRule="exact"/>
              <w:ind w:left="0"/>
              <w:rPr>
                <w:szCs w:val="24"/>
              </w:rPr>
            </w:pPr>
            <w:r w:rsidRPr="005F4AB5">
              <w:rPr>
                <w:szCs w:val="24"/>
              </w:rPr>
              <w:t>735</w:t>
            </w:r>
          </w:p>
        </w:tc>
      </w:tr>
      <w:tr w:rsidR="00A34DD5" w:rsidRPr="005F4AB5" w14:paraId="56185691" w14:textId="77777777" w:rsidTr="00180420">
        <w:trPr>
          <w:cantSplit/>
          <w:trHeight w:val="502"/>
          <w:tblHeader/>
        </w:trPr>
        <w:tc>
          <w:tcPr>
            <w:tcW w:w="439" w:type="pct"/>
          </w:tcPr>
          <w:p w14:paraId="1D76326F" w14:textId="539503E0" w:rsidR="00A36FD7" w:rsidRPr="005F4AB5" w:rsidRDefault="00A36FD7" w:rsidP="00435130">
            <w:pPr>
              <w:widowControl/>
              <w:autoSpaceDE/>
              <w:autoSpaceDN/>
              <w:jc w:val="center"/>
              <w:rPr>
                <w:rFonts w:eastAsia="Times New Roman"/>
                <w:szCs w:val="24"/>
                <w:lang w:val="en-GB" w:eastAsia="en-GB"/>
              </w:rPr>
            </w:pPr>
            <w:r w:rsidRPr="005F4AB5">
              <w:rPr>
                <w:rFonts w:eastAsia="Times New Roman"/>
                <w:szCs w:val="24"/>
                <w:lang w:val="en-GB" w:eastAsia="en-GB"/>
              </w:rPr>
              <w:t>3</w:t>
            </w:r>
          </w:p>
        </w:tc>
        <w:tc>
          <w:tcPr>
            <w:tcW w:w="3676" w:type="pct"/>
          </w:tcPr>
          <w:p w14:paraId="11DA35A3" w14:textId="6574D8EE" w:rsidR="00A36FD7" w:rsidRPr="005F4AB5" w:rsidRDefault="00A36FD7" w:rsidP="00435130">
            <w:pPr>
              <w:widowControl/>
              <w:autoSpaceDE/>
              <w:autoSpaceDN/>
              <w:jc w:val="center"/>
              <w:rPr>
                <w:rFonts w:eastAsia="Times New Roman"/>
                <w:szCs w:val="24"/>
                <w:lang w:val="en-GB" w:eastAsia="en-GB"/>
              </w:rPr>
            </w:pPr>
            <w:r w:rsidRPr="005F4AB5">
              <w:rPr>
                <w:rFonts w:eastAsia="Times New Roman"/>
                <w:szCs w:val="24"/>
                <w:lang w:val="en-GB" w:eastAsia="en-GB"/>
              </w:rPr>
              <w:t>Total deliverable housing supply</w:t>
            </w:r>
          </w:p>
        </w:tc>
        <w:tc>
          <w:tcPr>
            <w:tcW w:w="885" w:type="pct"/>
          </w:tcPr>
          <w:p w14:paraId="232ED118" w14:textId="70E4421A" w:rsidR="00A36FD7" w:rsidRPr="005F4AB5" w:rsidRDefault="003D0A8A" w:rsidP="00180420">
            <w:pPr>
              <w:pStyle w:val="TableParagraph"/>
              <w:spacing w:before="11" w:line="223" w:lineRule="exact"/>
              <w:ind w:left="0"/>
              <w:rPr>
                <w:szCs w:val="24"/>
              </w:rPr>
            </w:pPr>
            <w:r w:rsidRPr="005F4AB5">
              <w:rPr>
                <w:szCs w:val="24"/>
              </w:rPr>
              <w:t>2,</w:t>
            </w:r>
            <w:r w:rsidR="00524E73">
              <w:rPr>
                <w:szCs w:val="24"/>
              </w:rPr>
              <w:t>292</w:t>
            </w:r>
          </w:p>
        </w:tc>
      </w:tr>
      <w:tr w:rsidR="00A34DD5" w:rsidRPr="005F4AB5" w14:paraId="565A69FD" w14:textId="77777777" w:rsidTr="00180420">
        <w:trPr>
          <w:cantSplit/>
          <w:trHeight w:val="834"/>
          <w:tblHeader/>
        </w:trPr>
        <w:tc>
          <w:tcPr>
            <w:tcW w:w="439" w:type="pct"/>
          </w:tcPr>
          <w:p w14:paraId="2032315A" w14:textId="6A88CAB1" w:rsidR="008D4D4D" w:rsidRPr="005F4AB5" w:rsidRDefault="008D4D4D" w:rsidP="00435130">
            <w:pPr>
              <w:widowControl/>
              <w:autoSpaceDE/>
              <w:autoSpaceDN/>
              <w:jc w:val="center"/>
              <w:rPr>
                <w:rFonts w:eastAsia="Times New Roman"/>
                <w:szCs w:val="24"/>
                <w:lang w:val="en-GB" w:eastAsia="en-GB"/>
              </w:rPr>
            </w:pPr>
            <w:r w:rsidRPr="005F4AB5">
              <w:rPr>
                <w:rFonts w:eastAsia="Times New Roman"/>
                <w:szCs w:val="24"/>
                <w:lang w:val="en-GB" w:eastAsia="en-GB"/>
              </w:rPr>
              <w:t>4</w:t>
            </w:r>
          </w:p>
        </w:tc>
        <w:tc>
          <w:tcPr>
            <w:tcW w:w="3676" w:type="pct"/>
          </w:tcPr>
          <w:p w14:paraId="409C0710" w14:textId="243FF6C1" w:rsidR="008D4D4D" w:rsidRPr="005F4AB5" w:rsidRDefault="008D4D4D" w:rsidP="00435130">
            <w:pPr>
              <w:widowControl/>
              <w:autoSpaceDE/>
              <w:autoSpaceDN/>
              <w:jc w:val="center"/>
              <w:rPr>
                <w:rFonts w:eastAsia="Times New Roman"/>
                <w:szCs w:val="24"/>
                <w:lang w:val="en-GB" w:eastAsia="en-GB"/>
              </w:rPr>
            </w:pPr>
            <w:r w:rsidRPr="005F4AB5">
              <w:rPr>
                <w:rFonts w:eastAsia="Times New Roman"/>
                <w:szCs w:val="24"/>
                <w:lang w:val="en-GB" w:eastAsia="en-GB"/>
              </w:rPr>
              <w:t xml:space="preserve">Lapse rate deduction </w:t>
            </w:r>
            <w:r w:rsidR="00FB1E2C" w:rsidRPr="005F4AB5">
              <w:rPr>
                <w:rFonts w:eastAsia="Times New Roman"/>
                <w:szCs w:val="24"/>
                <w:lang w:val="en-GB" w:eastAsia="en-GB"/>
              </w:rPr>
              <w:t xml:space="preserve">of </w:t>
            </w:r>
            <w:r w:rsidRPr="005F4AB5">
              <w:rPr>
                <w:rFonts w:eastAsia="Times New Roman"/>
                <w:szCs w:val="24"/>
                <w:lang w:val="en-GB" w:eastAsia="en-GB"/>
              </w:rPr>
              <w:t>2</w:t>
            </w:r>
            <w:r w:rsidR="0067025D" w:rsidRPr="005F4AB5">
              <w:rPr>
                <w:rFonts w:eastAsia="Times New Roman"/>
                <w:szCs w:val="24"/>
                <w:lang w:val="en-GB" w:eastAsia="en-GB"/>
              </w:rPr>
              <w:t>3</w:t>
            </w:r>
            <w:r w:rsidRPr="005F4AB5">
              <w:rPr>
                <w:rFonts w:eastAsia="Times New Roman"/>
                <w:szCs w:val="24"/>
                <w:lang w:val="en-GB" w:eastAsia="en-GB"/>
              </w:rPr>
              <w:t xml:space="preserve">% </w:t>
            </w:r>
            <w:r w:rsidR="00FB1E2C" w:rsidRPr="005F4AB5">
              <w:rPr>
                <w:rFonts w:eastAsia="Times New Roman"/>
                <w:szCs w:val="24"/>
                <w:lang w:val="en-GB" w:eastAsia="en-GB"/>
              </w:rPr>
              <w:t xml:space="preserve">of </w:t>
            </w:r>
            <w:r w:rsidRPr="005F4AB5">
              <w:rPr>
                <w:rFonts w:eastAsia="Times New Roman"/>
                <w:szCs w:val="24"/>
                <w:lang w:val="en-GB" w:eastAsia="en-GB"/>
              </w:rPr>
              <w:t xml:space="preserve">small sites </w:t>
            </w:r>
            <w:r w:rsidR="008F26C2" w:rsidRPr="005F4AB5">
              <w:rPr>
                <w:rFonts w:eastAsia="Times New Roman"/>
                <w:szCs w:val="24"/>
                <w:lang w:val="en-GB" w:eastAsia="en-GB"/>
              </w:rPr>
              <w:t>(3</w:t>
            </w:r>
            <w:r w:rsidR="00811233" w:rsidRPr="005F4AB5">
              <w:rPr>
                <w:rFonts w:eastAsia="Times New Roman"/>
                <w:szCs w:val="24"/>
                <w:lang w:val="en-GB" w:eastAsia="en-GB"/>
              </w:rPr>
              <w:t>5</w:t>
            </w:r>
            <w:r w:rsidR="008F26C2" w:rsidRPr="005F4AB5">
              <w:rPr>
                <w:rFonts w:eastAsia="Times New Roman"/>
                <w:szCs w:val="24"/>
                <w:lang w:val="en-GB" w:eastAsia="en-GB"/>
              </w:rPr>
              <w:t xml:space="preserve">) </w:t>
            </w:r>
            <w:r w:rsidRPr="005F4AB5">
              <w:rPr>
                <w:rFonts w:eastAsia="Times New Roman"/>
                <w:szCs w:val="24"/>
                <w:lang w:val="en-GB" w:eastAsia="en-GB"/>
              </w:rPr>
              <w:t>not started</w:t>
            </w:r>
          </w:p>
        </w:tc>
        <w:tc>
          <w:tcPr>
            <w:tcW w:w="885" w:type="pct"/>
          </w:tcPr>
          <w:p w14:paraId="3CC7C196" w14:textId="44EA1F75" w:rsidR="008D4D4D" w:rsidRPr="005F4AB5" w:rsidRDefault="00FB1E2C" w:rsidP="00180420">
            <w:pPr>
              <w:pStyle w:val="TableParagraph"/>
              <w:spacing w:before="13" w:line="223" w:lineRule="exact"/>
              <w:ind w:left="0" w:right="275"/>
              <w:rPr>
                <w:szCs w:val="24"/>
              </w:rPr>
            </w:pPr>
            <w:r w:rsidRPr="005F4AB5">
              <w:rPr>
                <w:szCs w:val="24"/>
              </w:rPr>
              <w:t>8</w:t>
            </w:r>
          </w:p>
        </w:tc>
      </w:tr>
      <w:tr w:rsidR="00A34DD5" w:rsidRPr="005F4AB5" w14:paraId="38B7D541" w14:textId="77777777" w:rsidTr="00180420">
        <w:trPr>
          <w:cantSplit/>
          <w:trHeight w:val="834"/>
          <w:tblHeader/>
        </w:trPr>
        <w:tc>
          <w:tcPr>
            <w:tcW w:w="439" w:type="pct"/>
          </w:tcPr>
          <w:p w14:paraId="0394E30D" w14:textId="7F7CE5F1" w:rsidR="008D4D4D" w:rsidRPr="005F4AB5" w:rsidRDefault="008D4D4D" w:rsidP="00435130">
            <w:pPr>
              <w:widowControl/>
              <w:autoSpaceDE/>
              <w:autoSpaceDN/>
              <w:jc w:val="center"/>
              <w:rPr>
                <w:rFonts w:eastAsia="Times New Roman"/>
                <w:szCs w:val="24"/>
                <w:lang w:val="en-GB" w:eastAsia="en-GB"/>
              </w:rPr>
            </w:pPr>
            <w:r w:rsidRPr="005F4AB5">
              <w:rPr>
                <w:rFonts w:eastAsia="Times New Roman"/>
                <w:szCs w:val="24"/>
                <w:lang w:val="en-GB" w:eastAsia="en-GB"/>
              </w:rPr>
              <w:t>5</w:t>
            </w:r>
          </w:p>
        </w:tc>
        <w:tc>
          <w:tcPr>
            <w:tcW w:w="3676" w:type="pct"/>
          </w:tcPr>
          <w:p w14:paraId="01D72692" w14:textId="2D6010A6" w:rsidR="008D4D4D" w:rsidRPr="005F4AB5" w:rsidRDefault="008D4D4D" w:rsidP="00435130">
            <w:pPr>
              <w:widowControl/>
              <w:autoSpaceDE/>
              <w:autoSpaceDN/>
              <w:jc w:val="center"/>
              <w:rPr>
                <w:rFonts w:eastAsia="Times New Roman"/>
                <w:szCs w:val="24"/>
                <w:lang w:val="en-GB" w:eastAsia="en-GB"/>
              </w:rPr>
            </w:pPr>
            <w:r w:rsidRPr="005F4AB5">
              <w:rPr>
                <w:rFonts w:eastAsia="Times New Roman"/>
                <w:szCs w:val="24"/>
                <w:lang w:val="en-GB" w:eastAsia="en-GB"/>
              </w:rPr>
              <w:t>Total deliverable housing supply factoring in lapse rate</w:t>
            </w:r>
          </w:p>
        </w:tc>
        <w:tc>
          <w:tcPr>
            <w:tcW w:w="885" w:type="pct"/>
          </w:tcPr>
          <w:p w14:paraId="35EF4F09" w14:textId="50CDC0D5" w:rsidR="008D4D4D" w:rsidRPr="005F4AB5" w:rsidRDefault="003D0A8A" w:rsidP="00180420">
            <w:pPr>
              <w:pStyle w:val="TableParagraph"/>
              <w:spacing w:before="13" w:line="223" w:lineRule="exact"/>
              <w:ind w:left="0" w:right="275"/>
              <w:rPr>
                <w:szCs w:val="24"/>
              </w:rPr>
            </w:pPr>
            <w:r w:rsidRPr="005F4AB5">
              <w:rPr>
                <w:szCs w:val="24"/>
              </w:rPr>
              <w:t>2,</w:t>
            </w:r>
            <w:r w:rsidR="0018245F">
              <w:rPr>
                <w:szCs w:val="24"/>
              </w:rPr>
              <w:t>284</w:t>
            </w:r>
          </w:p>
        </w:tc>
      </w:tr>
      <w:tr w:rsidR="00A34DD5" w:rsidRPr="005F4AB5" w14:paraId="38A27D83" w14:textId="77777777" w:rsidTr="00524E73">
        <w:trPr>
          <w:cantSplit/>
          <w:trHeight w:val="834"/>
          <w:tblHeader/>
        </w:trPr>
        <w:tc>
          <w:tcPr>
            <w:tcW w:w="439" w:type="pct"/>
          </w:tcPr>
          <w:p w14:paraId="072213DB" w14:textId="6EFD1908" w:rsidR="00A36FD7" w:rsidRPr="005F4AB5" w:rsidRDefault="008D4D4D" w:rsidP="00435130">
            <w:pPr>
              <w:widowControl/>
              <w:autoSpaceDE/>
              <w:autoSpaceDN/>
              <w:jc w:val="center"/>
              <w:rPr>
                <w:rFonts w:eastAsia="Times New Roman"/>
                <w:szCs w:val="24"/>
                <w:lang w:val="en-GB" w:eastAsia="en-GB"/>
              </w:rPr>
            </w:pPr>
            <w:r w:rsidRPr="005F4AB5">
              <w:rPr>
                <w:rFonts w:eastAsia="Times New Roman"/>
                <w:szCs w:val="24"/>
                <w:lang w:val="en-GB" w:eastAsia="en-GB"/>
              </w:rPr>
              <w:t>6</w:t>
            </w:r>
          </w:p>
        </w:tc>
        <w:tc>
          <w:tcPr>
            <w:tcW w:w="3676" w:type="pct"/>
          </w:tcPr>
          <w:p w14:paraId="53338445" w14:textId="4EB313AD" w:rsidR="00A36FD7" w:rsidRPr="005F4AB5" w:rsidRDefault="00A36FD7" w:rsidP="00435130">
            <w:pPr>
              <w:widowControl/>
              <w:autoSpaceDE/>
              <w:autoSpaceDN/>
              <w:jc w:val="center"/>
              <w:rPr>
                <w:rFonts w:eastAsia="Times New Roman"/>
                <w:szCs w:val="24"/>
                <w:lang w:val="en-GB" w:eastAsia="en-GB"/>
              </w:rPr>
            </w:pPr>
            <w:r w:rsidRPr="005F4AB5">
              <w:rPr>
                <w:rFonts w:eastAsia="Times New Roman"/>
                <w:szCs w:val="24"/>
                <w:lang w:val="en-GB" w:eastAsia="en-GB"/>
              </w:rPr>
              <w:t xml:space="preserve">Total deliverable housing supply in years (row </w:t>
            </w:r>
            <w:r w:rsidR="008D4D4D" w:rsidRPr="005F4AB5">
              <w:rPr>
                <w:rFonts w:eastAsia="Times New Roman"/>
                <w:szCs w:val="24"/>
                <w:lang w:val="en-GB" w:eastAsia="en-GB"/>
              </w:rPr>
              <w:t>5</w:t>
            </w:r>
            <w:r w:rsidRPr="005F4AB5">
              <w:rPr>
                <w:rFonts w:eastAsia="Times New Roman"/>
                <w:szCs w:val="24"/>
                <w:lang w:val="en-GB" w:eastAsia="en-GB"/>
              </w:rPr>
              <w:t xml:space="preserve"> divided by row 2)</w:t>
            </w:r>
          </w:p>
        </w:tc>
        <w:tc>
          <w:tcPr>
            <w:tcW w:w="885" w:type="pct"/>
          </w:tcPr>
          <w:p w14:paraId="3EAAC709" w14:textId="3AF8FA3D" w:rsidR="00A36FD7" w:rsidRPr="005F4AB5" w:rsidRDefault="00524E73" w:rsidP="00435130">
            <w:pPr>
              <w:pStyle w:val="TableParagraph"/>
              <w:spacing w:before="13" w:line="223" w:lineRule="exact"/>
              <w:ind w:left="0" w:right="275"/>
              <w:rPr>
                <w:b/>
                <w:bCs/>
                <w:szCs w:val="24"/>
              </w:rPr>
            </w:pPr>
            <w:r>
              <w:rPr>
                <w:b/>
                <w:bCs/>
                <w:szCs w:val="24"/>
              </w:rPr>
              <w:t>3.1</w:t>
            </w:r>
          </w:p>
        </w:tc>
      </w:tr>
      <w:bookmarkEnd w:id="89"/>
    </w:tbl>
    <w:p w14:paraId="021AEC30" w14:textId="76A8A7E4" w:rsidR="00A27C0E" w:rsidRPr="005F4AB5" w:rsidRDefault="00A27C0E" w:rsidP="000D58DB">
      <w:pPr>
        <w:pStyle w:val="ListParagraph"/>
        <w:spacing w:line="276" w:lineRule="auto"/>
        <w:ind w:left="709" w:right="312" w:firstLine="0"/>
        <w:jc w:val="left"/>
        <w:rPr>
          <w:szCs w:val="24"/>
        </w:rPr>
      </w:pPr>
    </w:p>
    <w:p w14:paraId="2FB203C6" w14:textId="77777777" w:rsidR="003D1CDF" w:rsidRPr="005F4AB5" w:rsidRDefault="003D1CDF" w:rsidP="000D58DB">
      <w:pPr>
        <w:pStyle w:val="ListParagraph"/>
        <w:spacing w:line="276" w:lineRule="auto"/>
        <w:ind w:left="709" w:right="312" w:firstLine="0"/>
        <w:jc w:val="left"/>
        <w:rPr>
          <w:szCs w:val="24"/>
        </w:rPr>
        <w:sectPr w:rsidR="003D1CDF" w:rsidRPr="005F4AB5" w:rsidSect="00F15881">
          <w:type w:val="continuous"/>
          <w:pgSz w:w="11910" w:h="16840"/>
          <w:pgMar w:top="1340" w:right="1120" w:bottom="993" w:left="1120" w:header="0" w:footer="260" w:gutter="0"/>
          <w:pgNumType w:start="1"/>
          <w:cols w:space="720"/>
          <w:docGrid w:linePitch="299"/>
        </w:sectPr>
      </w:pPr>
    </w:p>
    <w:p w14:paraId="6834FA58" w14:textId="41695598" w:rsidR="00817D16" w:rsidRPr="005F4AB5" w:rsidRDefault="00817D16" w:rsidP="00246084">
      <w:pPr>
        <w:pStyle w:val="Heading2"/>
        <w:numPr>
          <w:ilvl w:val="0"/>
          <w:numId w:val="0"/>
        </w:numPr>
        <w:ind w:left="720" w:hanging="720"/>
        <w:rPr>
          <w:color w:val="auto"/>
        </w:rPr>
      </w:pPr>
      <w:bookmarkStart w:id="90" w:name="_Toc210303308"/>
      <w:bookmarkStart w:id="91" w:name="_Toc210308099"/>
      <w:bookmarkStart w:id="92" w:name="_Ref135662166"/>
      <w:bookmarkStart w:id="93" w:name="_Hlk173219873"/>
      <w:r w:rsidRPr="005F4AB5">
        <w:rPr>
          <w:color w:val="auto"/>
        </w:rPr>
        <w:lastRenderedPageBreak/>
        <w:t>A</w:t>
      </w:r>
      <w:r w:rsidR="000D58DB" w:rsidRPr="005F4AB5">
        <w:rPr>
          <w:color w:val="auto"/>
        </w:rPr>
        <w:t>ppendix 1: Standard method calculation</w:t>
      </w:r>
      <w:bookmarkEnd w:id="90"/>
      <w:bookmarkEnd w:id="91"/>
      <w:r w:rsidR="000D58DB" w:rsidRPr="005F4AB5">
        <w:rPr>
          <w:color w:val="auto"/>
        </w:rPr>
        <w:t xml:space="preserve"> </w:t>
      </w:r>
      <w:bookmarkEnd w:id="92"/>
    </w:p>
    <w:p w14:paraId="3A8BC0AF" w14:textId="77777777" w:rsidR="008A2B6D" w:rsidRPr="005F4AB5" w:rsidRDefault="008A2B6D" w:rsidP="00246084">
      <w:pPr>
        <w:pStyle w:val="Heading2"/>
        <w:numPr>
          <w:ilvl w:val="0"/>
          <w:numId w:val="0"/>
        </w:numPr>
        <w:ind w:left="720" w:hanging="720"/>
        <w:rPr>
          <w:color w:val="auto"/>
        </w:rPr>
      </w:pPr>
    </w:p>
    <w:p w14:paraId="044D8FBF" w14:textId="2FFB39A2" w:rsidR="00817D16" w:rsidRPr="005F4AB5" w:rsidRDefault="00817D16" w:rsidP="000D58DB">
      <w:pPr>
        <w:pStyle w:val="ListParagraph"/>
        <w:widowControl/>
        <w:numPr>
          <w:ilvl w:val="1"/>
          <w:numId w:val="18"/>
        </w:numPr>
        <w:autoSpaceDE/>
        <w:autoSpaceDN/>
        <w:spacing w:after="120" w:line="276" w:lineRule="auto"/>
        <w:ind w:left="709" w:hanging="709"/>
        <w:jc w:val="left"/>
        <w:rPr>
          <w:rStyle w:val="Hyperlink"/>
          <w:color w:val="auto"/>
          <w:szCs w:val="24"/>
          <w:u w:val="none"/>
        </w:rPr>
      </w:pPr>
      <w:r w:rsidRPr="005F4AB5">
        <w:rPr>
          <w:b/>
          <w:szCs w:val="24"/>
        </w:rPr>
        <w:t>Step 1 – Setting the baseline</w:t>
      </w:r>
      <w:r w:rsidRPr="005F4AB5">
        <w:rPr>
          <w:szCs w:val="24"/>
        </w:rPr>
        <w:t xml:space="preserve"> (as referenced in </w:t>
      </w:r>
      <w:r w:rsidR="00E87501" w:rsidRPr="005F4AB5">
        <w:rPr>
          <w:szCs w:val="24"/>
        </w:rPr>
        <w:t xml:space="preserve">the </w:t>
      </w:r>
      <w:hyperlink r:id="rId21" w:history="1">
        <w:r w:rsidRPr="005F4AB5">
          <w:rPr>
            <w:rStyle w:val="Hyperlink"/>
            <w:color w:val="auto"/>
            <w:szCs w:val="24"/>
          </w:rPr>
          <w:t>Planning Practice Guidance (PPG) under the heading of ‘Housing and economic needs assessment’ including Paragraph 004 Reference ID: 2a-004-</w:t>
        </w:r>
        <w:r w:rsidR="00333E40" w:rsidRPr="005F4AB5">
          <w:rPr>
            <w:rStyle w:val="Hyperlink"/>
            <w:color w:val="auto"/>
            <w:szCs w:val="24"/>
          </w:rPr>
          <w:t>20241212</w:t>
        </w:r>
      </w:hyperlink>
      <w:r w:rsidRPr="005F4AB5">
        <w:rPr>
          <w:szCs w:val="24"/>
        </w:rPr>
        <w:t xml:space="preserve">) is to use the </w:t>
      </w:r>
      <w:r w:rsidR="00224A18" w:rsidRPr="005F4AB5">
        <w:rPr>
          <w:szCs w:val="24"/>
        </w:rPr>
        <w:t xml:space="preserve"> value of the existing housing stock for the </w:t>
      </w:r>
      <w:r w:rsidR="00C427E2" w:rsidRPr="005F4AB5">
        <w:rPr>
          <w:szCs w:val="24"/>
        </w:rPr>
        <w:t xml:space="preserve"> from </w:t>
      </w:r>
      <w:r w:rsidR="003D267C" w:rsidRPr="005F4AB5">
        <w:rPr>
          <w:szCs w:val="24"/>
        </w:rPr>
        <w:t>20</w:t>
      </w:r>
      <w:r w:rsidR="00E1212E" w:rsidRPr="005F4AB5">
        <w:rPr>
          <w:szCs w:val="24"/>
        </w:rPr>
        <w:t>01</w:t>
      </w:r>
      <w:r w:rsidR="003D267C" w:rsidRPr="005F4AB5">
        <w:rPr>
          <w:szCs w:val="24"/>
        </w:rPr>
        <w:t xml:space="preserve"> </w:t>
      </w:r>
      <w:r w:rsidR="00C427E2" w:rsidRPr="005F4AB5">
        <w:rPr>
          <w:szCs w:val="24"/>
        </w:rPr>
        <w:t>to</w:t>
      </w:r>
      <w:r w:rsidR="00E04472" w:rsidRPr="005F4AB5">
        <w:rPr>
          <w:szCs w:val="24"/>
        </w:rPr>
        <w:t xml:space="preserve"> </w:t>
      </w:r>
      <w:r w:rsidR="003D267C" w:rsidRPr="005F4AB5">
        <w:rPr>
          <w:szCs w:val="24"/>
        </w:rPr>
        <w:t>20</w:t>
      </w:r>
      <w:r w:rsidR="00E1212E" w:rsidRPr="005F4AB5">
        <w:rPr>
          <w:szCs w:val="24"/>
        </w:rPr>
        <w:t>2</w:t>
      </w:r>
      <w:r w:rsidR="00274064" w:rsidRPr="005F4AB5">
        <w:rPr>
          <w:szCs w:val="24"/>
        </w:rPr>
        <w:t>4</w:t>
      </w:r>
      <w:r w:rsidRPr="005F4AB5">
        <w:rPr>
          <w:szCs w:val="24"/>
        </w:rPr>
        <w:t xml:space="preserve">. This uses the </w:t>
      </w:r>
      <w:r w:rsidR="00E1212E" w:rsidRPr="005F4AB5">
        <w:rPr>
          <w:szCs w:val="24"/>
        </w:rPr>
        <w:t xml:space="preserve"> dwelling stock estimates by local authority district</w:t>
      </w:r>
      <w:r w:rsidRPr="005F4AB5">
        <w:rPr>
          <w:szCs w:val="24"/>
        </w:rPr>
        <w:t xml:space="preserve">, as set out in </w:t>
      </w:r>
      <w:hyperlink r:id="rId22" w:history="1">
        <w:r w:rsidRPr="005F4AB5">
          <w:rPr>
            <w:rStyle w:val="Hyperlink"/>
            <w:color w:val="auto"/>
            <w:szCs w:val="24"/>
          </w:rPr>
          <w:t xml:space="preserve">Table </w:t>
        </w:r>
        <w:r w:rsidR="000F28ED" w:rsidRPr="005F4AB5">
          <w:rPr>
            <w:rStyle w:val="Hyperlink"/>
            <w:color w:val="auto"/>
            <w:szCs w:val="24"/>
          </w:rPr>
          <w:t>125</w:t>
        </w:r>
        <w:r w:rsidRPr="005F4AB5">
          <w:rPr>
            <w:rStyle w:val="Hyperlink"/>
            <w:color w:val="auto"/>
            <w:szCs w:val="24"/>
          </w:rPr>
          <w:t xml:space="preserve"> (</w:t>
        </w:r>
        <w:r w:rsidR="000F28ED" w:rsidRPr="005F4AB5">
          <w:rPr>
            <w:rStyle w:val="Hyperlink"/>
            <w:color w:val="auto"/>
            <w:szCs w:val="24"/>
          </w:rPr>
          <w:t>Dwelling stock estimated by local authority district: 2001-202</w:t>
        </w:r>
        <w:r w:rsidR="00151E52" w:rsidRPr="005F4AB5">
          <w:rPr>
            <w:rStyle w:val="Hyperlink"/>
            <w:color w:val="auto"/>
            <w:szCs w:val="24"/>
          </w:rPr>
          <w:t>4</w:t>
        </w:r>
        <w:r w:rsidR="000F28ED" w:rsidRPr="005F4AB5">
          <w:rPr>
            <w:rStyle w:val="Hyperlink"/>
            <w:color w:val="auto"/>
            <w:szCs w:val="24"/>
          </w:rPr>
          <w:t xml:space="preserve"> </w:t>
        </w:r>
        <w:r w:rsidR="00F65164" w:rsidRPr="005F4AB5">
          <w:rPr>
            <w:rStyle w:val="Hyperlink"/>
            <w:color w:val="auto"/>
            <w:szCs w:val="24"/>
          </w:rPr>
          <w:t>un</w:t>
        </w:r>
        <w:r w:rsidR="000F28ED" w:rsidRPr="005F4AB5">
          <w:rPr>
            <w:rStyle w:val="Hyperlink"/>
            <w:color w:val="auto"/>
            <w:szCs w:val="24"/>
          </w:rPr>
          <w:t>rounded</w:t>
        </w:r>
        <w:r w:rsidRPr="005F4AB5">
          <w:rPr>
            <w:rStyle w:val="Hyperlink"/>
            <w:color w:val="auto"/>
            <w:szCs w:val="24"/>
          </w:rPr>
          <w:t>)</w:t>
        </w:r>
      </w:hyperlink>
      <w:r w:rsidRPr="005F4AB5">
        <w:rPr>
          <w:rStyle w:val="Hyperlink"/>
          <w:color w:val="auto"/>
          <w:szCs w:val="24"/>
        </w:rPr>
        <w:t>.</w:t>
      </w:r>
      <w:r w:rsidR="00C92E61" w:rsidRPr="005F4AB5">
        <w:rPr>
          <w:rStyle w:val="Hyperlink"/>
          <w:color w:val="auto"/>
          <w:szCs w:val="24"/>
        </w:rPr>
        <w:t xml:space="preserve"> </w:t>
      </w:r>
      <w:bookmarkStart w:id="94" w:name="_Hlk173221354"/>
      <w:r w:rsidR="00C92E61" w:rsidRPr="005F4AB5">
        <w:rPr>
          <w:bCs/>
          <w:szCs w:val="24"/>
        </w:rPr>
        <w:t xml:space="preserve">Row </w:t>
      </w:r>
      <w:r w:rsidR="007E586B" w:rsidRPr="005F4AB5">
        <w:rPr>
          <w:bCs/>
          <w:szCs w:val="24"/>
        </w:rPr>
        <w:t>419</w:t>
      </w:r>
      <w:r w:rsidR="0063744A" w:rsidRPr="005F4AB5">
        <w:rPr>
          <w:bCs/>
          <w:szCs w:val="24"/>
        </w:rPr>
        <w:t xml:space="preserve"> </w:t>
      </w:r>
      <w:r w:rsidR="00C92E61" w:rsidRPr="005F4AB5">
        <w:rPr>
          <w:bCs/>
          <w:szCs w:val="24"/>
        </w:rPr>
        <w:t xml:space="preserve">shows that </w:t>
      </w:r>
      <w:r w:rsidR="00DD4C53" w:rsidRPr="005F4AB5">
        <w:rPr>
          <w:bCs/>
          <w:szCs w:val="24"/>
        </w:rPr>
        <w:t xml:space="preserve">the </w:t>
      </w:r>
      <w:r w:rsidR="000F28ED" w:rsidRPr="005F4AB5">
        <w:rPr>
          <w:bCs/>
          <w:szCs w:val="24"/>
        </w:rPr>
        <w:t>existing stock</w:t>
      </w:r>
      <w:r w:rsidR="00C92E61" w:rsidRPr="005F4AB5">
        <w:rPr>
          <w:bCs/>
          <w:szCs w:val="24"/>
        </w:rPr>
        <w:t xml:space="preserve"> for </w:t>
      </w:r>
      <w:r w:rsidR="0063744A" w:rsidRPr="005F4AB5">
        <w:rPr>
          <w:bCs/>
          <w:szCs w:val="24"/>
        </w:rPr>
        <w:t xml:space="preserve">Gloucester City </w:t>
      </w:r>
      <w:r w:rsidR="00C92E61" w:rsidRPr="005F4AB5">
        <w:rPr>
          <w:bCs/>
          <w:szCs w:val="24"/>
        </w:rPr>
        <w:t xml:space="preserve">in </w:t>
      </w:r>
      <w:r w:rsidR="00DD4C53" w:rsidRPr="005F4AB5">
        <w:rPr>
          <w:bCs/>
          <w:szCs w:val="24"/>
        </w:rPr>
        <w:t>202</w:t>
      </w:r>
      <w:r w:rsidR="00EF5617" w:rsidRPr="005F4AB5">
        <w:rPr>
          <w:bCs/>
          <w:szCs w:val="24"/>
        </w:rPr>
        <w:t>4</w:t>
      </w:r>
      <w:r w:rsidR="00DD4C53" w:rsidRPr="005F4AB5">
        <w:rPr>
          <w:bCs/>
          <w:szCs w:val="24"/>
        </w:rPr>
        <w:t xml:space="preserve"> is </w:t>
      </w:r>
      <w:r w:rsidR="007E586B" w:rsidRPr="005F4AB5">
        <w:rPr>
          <w:bCs/>
          <w:szCs w:val="24"/>
        </w:rPr>
        <w:t>59,484</w:t>
      </w:r>
      <w:r w:rsidR="00DD4C53" w:rsidRPr="005F4AB5">
        <w:rPr>
          <w:bCs/>
          <w:szCs w:val="24"/>
        </w:rPr>
        <w:t>.</w:t>
      </w:r>
      <w:r w:rsidR="007B0A0B" w:rsidRPr="005F4AB5">
        <w:rPr>
          <w:bCs/>
          <w:szCs w:val="24"/>
        </w:rPr>
        <w:t xml:space="preserve"> To set the baseline, 0.8% of the existing housing stock is used, therefore the calculation is 0.8% of 5</w:t>
      </w:r>
      <w:r w:rsidR="007E586B" w:rsidRPr="005F4AB5">
        <w:rPr>
          <w:bCs/>
          <w:szCs w:val="24"/>
        </w:rPr>
        <w:t>9</w:t>
      </w:r>
      <w:r w:rsidR="007B0A0B" w:rsidRPr="005F4AB5">
        <w:rPr>
          <w:bCs/>
          <w:szCs w:val="24"/>
        </w:rPr>
        <w:t>,</w:t>
      </w:r>
      <w:r w:rsidR="007E586B" w:rsidRPr="005F4AB5">
        <w:rPr>
          <w:bCs/>
          <w:szCs w:val="24"/>
        </w:rPr>
        <w:t>484</w:t>
      </w:r>
      <w:r w:rsidR="007B0A0B" w:rsidRPr="005F4AB5">
        <w:rPr>
          <w:bCs/>
          <w:szCs w:val="24"/>
        </w:rPr>
        <w:t xml:space="preserve">. The housing stock baseline figure is </w:t>
      </w:r>
      <w:r w:rsidR="00526687" w:rsidRPr="005F4AB5">
        <w:rPr>
          <w:bCs/>
          <w:szCs w:val="24"/>
        </w:rPr>
        <w:t>4</w:t>
      </w:r>
      <w:r w:rsidR="007E586B" w:rsidRPr="005F4AB5">
        <w:rPr>
          <w:bCs/>
          <w:szCs w:val="24"/>
        </w:rPr>
        <w:t>75</w:t>
      </w:r>
      <w:r w:rsidR="00526687" w:rsidRPr="005F4AB5">
        <w:rPr>
          <w:bCs/>
          <w:szCs w:val="24"/>
        </w:rPr>
        <w:t>.8</w:t>
      </w:r>
      <w:r w:rsidR="007E586B" w:rsidRPr="005F4AB5">
        <w:rPr>
          <w:bCs/>
          <w:szCs w:val="24"/>
        </w:rPr>
        <w:t>72</w:t>
      </w:r>
      <w:r w:rsidR="007B0A0B" w:rsidRPr="005F4AB5">
        <w:rPr>
          <w:bCs/>
          <w:szCs w:val="24"/>
        </w:rPr>
        <w:t xml:space="preserve">. </w:t>
      </w:r>
      <w:r w:rsidR="00DD4C53" w:rsidRPr="005F4AB5">
        <w:rPr>
          <w:bCs/>
          <w:szCs w:val="24"/>
        </w:rPr>
        <w:t xml:space="preserve">  </w:t>
      </w:r>
      <w:r w:rsidR="00C92E61" w:rsidRPr="005F4AB5">
        <w:rPr>
          <w:bCs/>
          <w:szCs w:val="24"/>
        </w:rPr>
        <w:t xml:space="preserve"> </w:t>
      </w:r>
      <w:r w:rsidRPr="005F4AB5">
        <w:rPr>
          <w:rStyle w:val="Hyperlink"/>
          <w:bCs/>
          <w:color w:val="auto"/>
          <w:szCs w:val="24"/>
        </w:rPr>
        <w:t xml:space="preserve"> </w:t>
      </w:r>
    </w:p>
    <w:bookmarkEnd w:id="94"/>
    <w:p w14:paraId="719E0C64" w14:textId="07A53433" w:rsidR="00817D16" w:rsidRPr="005F4AB5" w:rsidRDefault="00817D16" w:rsidP="000D58DB">
      <w:pPr>
        <w:pStyle w:val="ListParagraph"/>
        <w:widowControl/>
        <w:numPr>
          <w:ilvl w:val="1"/>
          <w:numId w:val="18"/>
        </w:numPr>
        <w:autoSpaceDE/>
        <w:autoSpaceDN/>
        <w:spacing w:after="120" w:line="276" w:lineRule="auto"/>
        <w:ind w:left="709" w:hanging="709"/>
        <w:jc w:val="left"/>
        <w:rPr>
          <w:szCs w:val="24"/>
        </w:rPr>
      </w:pPr>
      <w:r w:rsidRPr="005F4AB5">
        <w:rPr>
          <w:b/>
          <w:szCs w:val="24"/>
          <w:lang w:val="en-GB"/>
        </w:rPr>
        <w:t>Step 2 (from the PPG) – An adjustment to take account of affordability</w:t>
      </w:r>
      <w:r w:rsidRPr="005F4AB5">
        <w:rPr>
          <w:szCs w:val="24"/>
          <w:lang w:val="en-GB"/>
        </w:rPr>
        <w:t xml:space="preserve"> is then made. Using the most recent </w:t>
      </w:r>
      <w:hyperlink r:id="rId23" w:history="1">
        <w:r w:rsidRPr="005F4AB5">
          <w:rPr>
            <w:rStyle w:val="Hyperlink"/>
            <w:color w:val="auto"/>
            <w:szCs w:val="24"/>
          </w:rPr>
          <w:t>median workplace-based affordability ratios</w:t>
        </w:r>
      </w:hyperlink>
      <w:r w:rsidRPr="005F4AB5">
        <w:rPr>
          <w:rStyle w:val="Hyperlink"/>
          <w:color w:val="auto"/>
        </w:rPr>
        <w:t xml:space="preserve"> </w:t>
      </w:r>
      <w:r w:rsidRPr="005F4AB5">
        <w:rPr>
          <w:szCs w:val="24"/>
          <w:lang w:val="en-GB"/>
        </w:rPr>
        <w:t>published by the Office for National Statistics (ONS). The most recent published information relate</w:t>
      </w:r>
      <w:r w:rsidR="008C7860" w:rsidRPr="005F4AB5">
        <w:rPr>
          <w:szCs w:val="24"/>
          <w:lang w:val="en-GB"/>
        </w:rPr>
        <w:t>s</w:t>
      </w:r>
      <w:r w:rsidRPr="005F4AB5">
        <w:rPr>
          <w:szCs w:val="24"/>
          <w:lang w:val="en-GB"/>
        </w:rPr>
        <w:t xml:space="preserve"> to the year </w:t>
      </w:r>
      <w:r w:rsidR="00B1710E" w:rsidRPr="005F4AB5">
        <w:rPr>
          <w:szCs w:val="24"/>
          <w:lang w:val="en-GB"/>
        </w:rPr>
        <w:t>202</w:t>
      </w:r>
      <w:r w:rsidR="00676FC7" w:rsidRPr="005F4AB5">
        <w:rPr>
          <w:szCs w:val="24"/>
          <w:lang w:val="en-GB"/>
        </w:rPr>
        <w:t>5</w:t>
      </w:r>
      <w:r w:rsidRPr="005F4AB5">
        <w:rPr>
          <w:szCs w:val="24"/>
          <w:lang w:val="en-GB"/>
        </w:rPr>
        <w:t xml:space="preserve">. </w:t>
      </w:r>
      <w:r w:rsidRPr="005F4AB5">
        <w:rPr>
          <w:szCs w:val="24"/>
        </w:rPr>
        <w:t xml:space="preserve">Table 5c (Median affordability ratio) is referred to by ONS as the </w:t>
      </w:r>
      <w:r w:rsidRPr="005F4AB5">
        <w:rPr>
          <w:i/>
          <w:szCs w:val="24"/>
        </w:rPr>
        <w:t>“Ratio of median house price to median gross annual</w:t>
      </w:r>
      <w:r w:rsidR="004021A7" w:rsidRPr="005F4AB5">
        <w:rPr>
          <w:i/>
          <w:szCs w:val="24"/>
        </w:rPr>
        <w:t xml:space="preserve"> </w:t>
      </w:r>
      <w:r w:rsidRPr="005F4AB5">
        <w:rPr>
          <w:i/>
          <w:szCs w:val="24"/>
        </w:rPr>
        <w:t xml:space="preserve">workplace-based earnings by local authority district, England and Wales, 1997 to </w:t>
      </w:r>
      <w:r w:rsidR="00724AE1" w:rsidRPr="005F4AB5">
        <w:rPr>
          <w:i/>
          <w:szCs w:val="24"/>
        </w:rPr>
        <w:t>2024</w:t>
      </w:r>
      <w:r w:rsidRPr="005F4AB5">
        <w:rPr>
          <w:i/>
          <w:szCs w:val="24"/>
        </w:rPr>
        <w:t>”</w:t>
      </w:r>
      <w:r w:rsidRPr="005F4AB5">
        <w:rPr>
          <w:szCs w:val="24"/>
        </w:rPr>
        <w:t>.</w:t>
      </w:r>
      <w:r w:rsidR="00CD54F8" w:rsidRPr="005F4AB5">
        <w:rPr>
          <w:szCs w:val="24"/>
        </w:rPr>
        <w:t xml:space="preserve"> The mean </w:t>
      </w:r>
      <w:r w:rsidR="001E0E8A" w:rsidRPr="005F4AB5">
        <w:rPr>
          <w:szCs w:val="24"/>
        </w:rPr>
        <w:t>average</w:t>
      </w:r>
      <w:r w:rsidR="00CD54F8" w:rsidRPr="005F4AB5">
        <w:rPr>
          <w:szCs w:val="24"/>
        </w:rPr>
        <w:t xml:space="preserve"> </w:t>
      </w:r>
      <w:r w:rsidR="001E0E8A" w:rsidRPr="005F4AB5">
        <w:rPr>
          <w:szCs w:val="24"/>
        </w:rPr>
        <w:t>affordability</w:t>
      </w:r>
      <w:r w:rsidR="00CD54F8" w:rsidRPr="005F4AB5">
        <w:rPr>
          <w:szCs w:val="24"/>
        </w:rPr>
        <w:t xml:space="preserve"> over the five most recent years for which data is available should be used. </w:t>
      </w:r>
      <w:r w:rsidRPr="005F4AB5">
        <w:rPr>
          <w:szCs w:val="24"/>
        </w:rPr>
        <w:t xml:space="preserve">Row </w:t>
      </w:r>
      <w:r w:rsidR="007E586B" w:rsidRPr="005F4AB5">
        <w:rPr>
          <w:szCs w:val="24"/>
        </w:rPr>
        <w:t>296</w:t>
      </w:r>
      <w:r w:rsidR="00EF5C52" w:rsidRPr="005F4AB5">
        <w:rPr>
          <w:szCs w:val="24"/>
        </w:rPr>
        <w:t xml:space="preserve"> </w:t>
      </w:r>
      <w:r w:rsidRPr="005F4AB5">
        <w:rPr>
          <w:szCs w:val="24"/>
        </w:rPr>
        <w:t xml:space="preserve">of Table 5c gives </w:t>
      </w:r>
      <w:r w:rsidR="00D005EB" w:rsidRPr="005F4AB5">
        <w:rPr>
          <w:szCs w:val="24"/>
        </w:rPr>
        <w:t xml:space="preserve">the mean average </w:t>
      </w:r>
      <w:r w:rsidRPr="005F4AB5">
        <w:rPr>
          <w:szCs w:val="24"/>
        </w:rPr>
        <w:t xml:space="preserve">affordability ratio of </w:t>
      </w:r>
      <w:r w:rsidR="00420946" w:rsidRPr="005F4AB5">
        <w:rPr>
          <w:szCs w:val="24"/>
        </w:rPr>
        <w:t xml:space="preserve">7.48 </w:t>
      </w:r>
      <w:r w:rsidRPr="005F4AB5">
        <w:rPr>
          <w:szCs w:val="24"/>
        </w:rPr>
        <w:t xml:space="preserve">for </w:t>
      </w:r>
      <w:r w:rsidR="00420946" w:rsidRPr="005F4AB5">
        <w:rPr>
          <w:szCs w:val="24"/>
        </w:rPr>
        <w:t>Gloucester City</w:t>
      </w:r>
      <w:r w:rsidRPr="005F4AB5">
        <w:rPr>
          <w:szCs w:val="24"/>
        </w:rPr>
        <w:t xml:space="preserve">. </w:t>
      </w:r>
    </w:p>
    <w:p w14:paraId="574E5502" w14:textId="13600BCC" w:rsidR="00817D16" w:rsidRPr="005F4AB5" w:rsidRDefault="00817D16" w:rsidP="000D58DB">
      <w:pPr>
        <w:pStyle w:val="ListParagraph"/>
        <w:widowControl/>
        <w:numPr>
          <w:ilvl w:val="1"/>
          <w:numId w:val="18"/>
        </w:numPr>
        <w:autoSpaceDE/>
        <w:autoSpaceDN/>
        <w:spacing w:after="120" w:line="276" w:lineRule="auto"/>
        <w:ind w:left="709" w:hanging="709"/>
        <w:jc w:val="left"/>
        <w:rPr>
          <w:szCs w:val="24"/>
        </w:rPr>
      </w:pPr>
      <w:r w:rsidRPr="005F4AB5">
        <w:rPr>
          <w:szCs w:val="24"/>
        </w:rPr>
        <w:t>Because the ratio is above</w:t>
      </w:r>
      <w:r w:rsidR="005839DF" w:rsidRPr="005F4AB5">
        <w:rPr>
          <w:szCs w:val="24"/>
        </w:rPr>
        <w:t xml:space="preserve"> </w:t>
      </w:r>
      <w:r w:rsidR="003F7466" w:rsidRPr="005F4AB5">
        <w:rPr>
          <w:szCs w:val="24"/>
        </w:rPr>
        <w:t>5</w:t>
      </w:r>
      <w:r w:rsidRPr="005F4AB5">
        <w:rPr>
          <w:szCs w:val="24"/>
        </w:rPr>
        <w:t xml:space="preserve">, an adjustment is made in line with the following formula as set out in the PPG. </w:t>
      </w:r>
      <w:r w:rsidR="00AF0021" w:rsidRPr="005F4AB5">
        <w:rPr>
          <w:szCs w:val="24"/>
        </w:rPr>
        <w:br/>
      </w:r>
      <m:oMathPara>
        <m:oMathParaPr>
          <m:jc m:val="left"/>
        </m:oMathParaPr>
        <m:oMath>
          <m:r>
            <w:rPr>
              <w:rFonts w:ascii="Cambria Math" w:hAnsi="Cambria Math"/>
              <w:szCs w:val="24"/>
            </w:rPr>
            <m:t>Adjustment factor=(</m:t>
          </m:r>
          <m:f>
            <m:fPr>
              <m:ctrlPr>
                <w:rPr>
                  <w:rFonts w:ascii="Cambria Math" w:hAnsi="Cambria Math"/>
                  <w:i/>
                  <w:szCs w:val="24"/>
                </w:rPr>
              </m:ctrlPr>
            </m:fPr>
            <m:num>
              <m:r>
                <w:rPr>
                  <w:rFonts w:ascii="Cambria Math" w:hAnsi="Cambria Math"/>
                  <w:szCs w:val="24"/>
                </w:rPr>
                <m:t>five year average affordability ratio-5</m:t>
              </m:r>
            </m:num>
            <m:den>
              <m:r>
                <w:rPr>
                  <w:rFonts w:ascii="Cambria Math" w:hAnsi="Cambria Math"/>
                  <w:szCs w:val="24"/>
                </w:rPr>
                <m:t>5</m:t>
              </m:r>
            </m:den>
          </m:f>
          <m:r>
            <w:rPr>
              <w:rFonts w:ascii="Cambria Math" w:hAnsi="Cambria Math"/>
              <w:szCs w:val="24"/>
            </w:rPr>
            <m:t>) x 0.95+1</m:t>
          </m:r>
        </m:oMath>
      </m:oMathPara>
    </w:p>
    <w:p w14:paraId="73201127" w14:textId="471D209C" w:rsidR="00817D16" w:rsidRPr="005F4AB5" w:rsidRDefault="00817D16" w:rsidP="008F1CB0">
      <w:pPr>
        <w:widowControl/>
        <w:autoSpaceDE/>
        <w:autoSpaceDN/>
        <w:spacing w:before="120" w:after="120" w:line="276" w:lineRule="auto"/>
        <w:rPr>
          <w:rFonts w:eastAsia="Times New Roman"/>
          <w:sz w:val="12"/>
          <w:szCs w:val="12"/>
          <w:lang w:val="en-GB" w:eastAsia="en-GB"/>
        </w:rPr>
      </w:pPr>
    </w:p>
    <w:p w14:paraId="303F06CC" w14:textId="3AD399E5" w:rsidR="00817D16" w:rsidRPr="005F4AB5" w:rsidRDefault="00817D16" w:rsidP="000D58DB">
      <w:pPr>
        <w:pStyle w:val="ListParagraph"/>
        <w:widowControl/>
        <w:numPr>
          <w:ilvl w:val="1"/>
          <w:numId w:val="18"/>
        </w:numPr>
        <w:autoSpaceDE/>
        <w:autoSpaceDN/>
        <w:spacing w:after="120" w:line="276" w:lineRule="auto"/>
        <w:ind w:left="709" w:hanging="709"/>
        <w:jc w:val="left"/>
        <w:rPr>
          <w:rFonts w:eastAsia="Times New Roman"/>
          <w:lang w:val="en-GB" w:eastAsia="en-GB"/>
        </w:rPr>
      </w:pPr>
      <w:r w:rsidRPr="005F4AB5">
        <w:rPr>
          <w:szCs w:val="24"/>
        </w:rPr>
        <w:t>The calculation is therefore (</w:t>
      </w:r>
      <w:r w:rsidR="007E586B" w:rsidRPr="005F4AB5">
        <w:rPr>
          <w:szCs w:val="24"/>
        </w:rPr>
        <w:t>7.48</w:t>
      </w:r>
      <w:r w:rsidRPr="005F4AB5">
        <w:rPr>
          <w:szCs w:val="24"/>
        </w:rPr>
        <w:t xml:space="preserve"> – </w:t>
      </w:r>
      <w:r w:rsidR="003F7466" w:rsidRPr="005F4AB5">
        <w:rPr>
          <w:szCs w:val="24"/>
        </w:rPr>
        <w:t>5</w:t>
      </w:r>
      <w:r w:rsidRPr="005F4AB5">
        <w:rPr>
          <w:szCs w:val="24"/>
        </w:rPr>
        <w:t>)/</w:t>
      </w:r>
      <w:r w:rsidR="003F7466" w:rsidRPr="005F4AB5">
        <w:rPr>
          <w:szCs w:val="24"/>
        </w:rPr>
        <w:t>5</w:t>
      </w:r>
      <w:r w:rsidR="00D554EC" w:rsidRPr="005F4AB5">
        <w:rPr>
          <w:szCs w:val="24"/>
        </w:rPr>
        <w:t>*</w:t>
      </w:r>
      <w:r w:rsidR="003F7466" w:rsidRPr="005F4AB5">
        <w:rPr>
          <w:szCs w:val="24"/>
        </w:rPr>
        <w:t>0.95</w:t>
      </w:r>
      <w:r w:rsidRPr="005F4AB5">
        <w:rPr>
          <w:szCs w:val="24"/>
        </w:rPr>
        <w:t xml:space="preserve">+1, which gives an affordability adjustment of </w:t>
      </w:r>
      <w:r w:rsidR="001C3D1F" w:rsidRPr="005F4AB5">
        <w:rPr>
          <w:szCs w:val="24"/>
        </w:rPr>
        <w:t>1.</w:t>
      </w:r>
      <w:r w:rsidR="007E586B" w:rsidRPr="005F4AB5">
        <w:rPr>
          <w:szCs w:val="24"/>
        </w:rPr>
        <w:t>47</w:t>
      </w:r>
      <w:r w:rsidR="008A2B6D" w:rsidRPr="005F4AB5">
        <w:rPr>
          <w:szCs w:val="24"/>
        </w:rPr>
        <w:t>12</w:t>
      </w:r>
      <w:r w:rsidRPr="005F4AB5">
        <w:rPr>
          <w:szCs w:val="24"/>
        </w:rPr>
        <w:t>‬.</w:t>
      </w:r>
    </w:p>
    <w:p w14:paraId="7CF47CDF" w14:textId="77777777" w:rsidR="00817D16" w:rsidRPr="005F4AB5" w:rsidRDefault="00817D16" w:rsidP="000D58DB">
      <w:pPr>
        <w:pStyle w:val="ListParagraph"/>
        <w:widowControl/>
        <w:numPr>
          <w:ilvl w:val="1"/>
          <w:numId w:val="18"/>
        </w:numPr>
        <w:autoSpaceDE/>
        <w:autoSpaceDN/>
        <w:spacing w:after="120" w:line="276" w:lineRule="auto"/>
        <w:ind w:left="709" w:hanging="709"/>
        <w:jc w:val="left"/>
        <w:rPr>
          <w:rFonts w:eastAsia="Times New Roman"/>
          <w:szCs w:val="24"/>
          <w:lang w:val="en-GB" w:eastAsia="en-GB"/>
        </w:rPr>
      </w:pPr>
      <w:r w:rsidRPr="005F4AB5">
        <w:rPr>
          <w:rFonts w:eastAsia="Times New Roman"/>
          <w:szCs w:val="24"/>
          <w:lang w:val="en-GB" w:eastAsia="en-GB"/>
        </w:rPr>
        <w:t xml:space="preserve">According to the worked examples in the PPG, the adjustment factor is then applied to the projected household growth figure from Step 1 to produce a </w:t>
      </w:r>
      <w:r w:rsidRPr="005F4AB5">
        <w:rPr>
          <w:rFonts w:eastAsia="Times New Roman"/>
          <w:b/>
          <w:szCs w:val="24"/>
          <w:lang w:val="en-GB" w:eastAsia="en-GB"/>
        </w:rPr>
        <w:t>minimum annual local housing need figure</w:t>
      </w:r>
      <w:r w:rsidRPr="005F4AB5">
        <w:rPr>
          <w:rFonts w:eastAsia="Times New Roman"/>
          <w:szCs w:val="24"/>
          <w:lang w:val="en-GB" w:eastAsia="en-GB"/>
        </w:rPr>
        <w:t xml:space="preserve">: </w:t>
      </w:r>
    </w:p>
    <w:p w14:paraId="4A678321" w14:textId="3CC5C17C" w:rsidR="00817D16" w:rsidRPr="005F4AB5" w:rsidRDefault="0069757F" w:rsidP="000D58DB">
      <w:pPr>
        <w:pStyle w:val="ListParagraph"/>
        <w:widowControl/>
        <w:autoSpaceDE/>
        <w:autoSpaceDN/>
        <w:spacing w:before="120" w:line="276" w:lineRule="auto"/>
        <w:ind w:left="720" w:firstLine="0"/>
        <w:jc w:val="left"/>
        <w:rPr>
          <w:rFonts w:asciiTheme="minorHAnsi" w:hAnsiTheme="minorHAnsi" w:cstheme="minorHAnsi"/>
          <w:szCs w:val="24"/>
          <w:vertAlign w:val="superscript"/>
        </w:rPr>
      </w:pPr>
      <w:r w:rsidRPr="005F4AB5">
        <w:rPr>
          <w:rFonts w:asciiTheme="minorHAnsi" w:eastAsia="Times New Roman" w:hAnsiTheme="minorHAnsi" w:cstheme="minorHAnsi"/>
          <w:lang w:val="en-GB" w:eastAsia="en-GB"/>
        </w:rPr>
        <w:t>1.</w:t>
      </w:r>
      <w:r w:rsidR="008A2B6D" w:rsidRPr="005F4AB5">
        <w:rPr>
          <w:rFonts w:asciiTheme="minorHAnsi" w:eastAsia="Times New Roman" w:hAnsiTheme="minorHAnsi" w:cstheme="minorHAnsi"/>
          <w:lang w:val="en-GB" w:eastAsia="en-GB"/>
        </w:rPr>
        <w:t>4712</w:t>
      </w:r>
      <w:r w:rsidR="00817D16" w:rsidRPr="005F4AB5">
        <w:rPr>
          <w:rFonts w:asciiTheme="minorHAnsi" w:eastAsia="Times New Roman" w:hAnsiTheme="minorHAnsi" w:cstheme="minorHAnsi"/>
          <w:lang w:val="en-GB" w:eastAsia="en-GB"/>
        </w:rPr>
        <w:t xml:space="preserve">‬ * </w:t>
      </w:r>
      <w:r w:rsidR="008A2B6D" w:rsidRPr="005F4AB5">
        <w:rPr>
          <w:rFonts w:asciiTheme="minorHAnsi" w:hAnsiTheme="minorHAnsi" w:cstheme="minorHAnsi"/>
        </w:rPr>
        <w:t xml:space="preserve">475.872 </w:t>
      </w:r>
      <w:r w:rsidR="00C427E2" w:rsidRPr="005F4AB5">
        <w:rPr>
          <w:rFonts w:asciiTheme="minorHAnsi" w:eastAsia="Times New Roman" w:hAnsiTheme="minorHAnsi" w:cstheme="minorHAnsi"/>
          <w:lang w:val="en-GB" w:eastAsia="en-GB"/>
        </w:rPr>
        <w:t>=</w:t>
      </w:r>
      <w:r w:rsidR="00202680" w:rsidRPr="005F4AB5">
        <w:rPr>
          <w:rFonts w:asciiTheme="minorHAnsi" w:eastAsia="Times New Roman" w:hAnsiTheme="minorHAnsi" w:cstheme="minorHAnsi"/>
          <w:lang w:val="en-GB" w:eastAsia="en-GB"/>
        </w:rPr>
        <w:t xml:space="preserve"> </w:t>
      </w:r>
      <w:r w:rsidR="008A2B6D" w:rsidRPr="005F4AB5">
        <w:rPr>
          <w:rFonts w:asciiTheme="minorHAnsi" w:eastAsia="Times New Roman" w:hAnsiTheme="minorHAnsi" w:cstheme="minorHAnsi"/>
          <w:lang w:val="en-GB" w:eastAsia="en-GB"/>
        </w:rPr>
        <w:t>700</w:t>
      </w:r>
    </w:p>
    <w:p w14:paraId="3BB46037" w14:textId="32C30351" w:rsidR="00FB082A" w:rsidRPr="005F4AB5" w:rsidRDefault="00FB082A" w:rsidP="000D58DB">
      <w:pPr>
        <w:pStyle w:val="ListParagraph"/>
        <w:widowControl/>
        <w:autoSpaceDE/>
        <w:autoSpaceDN/>
        <w:spacing w:before="120" w:line="276" w:lineRule="auto"/>
        <w:ind w:left="720" w:firstLine="0"/>
        <w:jc w:val="left"/>
        <w:rPr>
          <w:rFonts w:eastAsia="Times New Roman"/>
          <w:lang w:val="en-GB" w:eastAsia="en-GB"/>
        </w:rPr>
      </w:pPr>
      <w:r w:rsidRPr="005F4AB5">
        <w:t xml:space="preserve">(Figure is </w:t>
      </w:r>
      <w:r w:rsidR="008A2B6D" w:rsidRPr="005F4AB5">
        <w:t xml:space="preserve">700.4 </w:t>
      </w:r>
      <w:r w:rsidRPr="005F4AB5">
        <w:t xml:space="preserve">but this has then been rounded </w:t>
      </w:r>
      <w:r w:rsidR="00CA5753" w:rsidRPr="005F4AB5">
        <w:t>down</w:t>
      </w:r>
      <w:r w:rsidRPr="005F4AB5">
        <w:t>)</w:t>
      </w:r>
      <w:r w:rsidR="008A2B6D" w:rsidRPr="005F4AB5">
        <w:t>.</w:t>
      </w:r>
    </w:p>
    <w:p w14:paraId="001E563E" w14:textId="77777777" w:rsidR="00817D16" w:rsidRPr="005F4AB5" w:rsidRDefault="00817D16" w:rsidP="000D58DB">
      <w:pPr>
        <w:pStyle w:val="ListParagraph"/>
        <w:widowControl/>
        <w:autoSpaceDE/>
        <w:autoSpaceDN/>
        <w:spacing w:line="276" w:lineRule="auto"/>
        <w:ind w:left="720" w:firstLine="0"/>
        <w:jc w:val="left"/>
        <w:rPr>
          <w:rFonts w:eastAsia="Times New Roman"/>
          <w:lang w:val="en-GB" w:eastAsia="en-GB"/>
        </w:rPr>
      </w:pPr>
    </w:p>
    <w:p w14:paraId="5527CD7F" w14:textId="5EFD6D62" w:rsidR="0020780A" w:rsidRDefault="00817D16" w:rsidP="000D58DB">
      <w:pPr>
        <w:rPr>
          <w:b/>
          <w:bCs/>
          <w:szCs w:val="24"/>
        </w:rPr>
      </w:pPr>
      <w:r w:rsidRPr="005F4AB5">
        <w:rPr>
          <w:szCs w:val="24"/>
        </w:rPr>
        <w:br w:type="page"/>
      </w:r>
      <w:bookmarkStart w:id="95" w:name="_Ref177974000"/>
      <w:bookmarkStart w:id="96" w:name="_Toc208233939"/>
      <w:r w:rsidR="0020780A" w:rsidRPr="005F4AB5">
        <w:rPr>
          <w:b/>
          <w:bCs/>
          <w:szCs w:val="24"/>
        </w:rPr>
        <w:lastRenderedPageBreak/>
        <w:t xml:space="preserve">Figure </w:t>
      </w:r>
      <w:r w:rsidR="0020780A" w:rsidRPr="005F4AB5">
        <w:rPr>
          <w:b/>
          <w:bCs/>
          <w:i/>
          <w:szCs w:val="24"/>
        </w:rPr>
        <w:fldChar w:fldCharType="begin"/>
      </w:r>
      <w:r w:rsidR="0020780A" w:rsidRPr="005F4AB5">
        <w:rPr>
          <w:b/>
          <w:bCs/>
          <w:szCs w:val="24"/>
        </w:rPr>
        <w:instrText xml:space="preserve"> SEQ Figure \* ARABIC </w:instrText>
      </w:r>
      <w:r w:rsidR="0020780A" w:rsidRPr="005F4AB5">
        <w:rPr>
          <w:b/>
          <w:bCs/>
          <w:i/>
          <w:szCs w:val="24"/>
        </w:rPr>
        <w:fldChar w:fldCharType="separate"/>
      </w:r>
      <w:r w:rsidR="00033F80">
        <w:rPr>
          <w:b/>
          <w:bCs/>
          <w:noProof/>
          <w:szCs w:val="24"/>
        </w:rPr>
        <w:t>9</w:t>
      </w:r>
      <w:r w:rsidR="0020780A" w:rsidRPr="005F4AB5">
        <w:rPr>
          <w:b/>
          <w:bCs/>
          <w:i/>
          <w:szCs w:val="24"/>
        </w:rPr>
        <w:fldChar w:fldCharType="end"/>
      </w:r>
      <w:bookmarkEnd w:id="95"/>
      <w:r w:rsidR="0020780A" w:rsidRPr="005F4AB5">
        <w:rPr>
          <w:b/>
          <w:bCs/>
          <w:szCs w:val="24"/>
        </w:rPr>
        <w:t xml:space="preserve">: </w:t>
      </w:r>
      <w:r w:rsidR="0063744A" w:rsidRPr="005F4AB5">
        <w:rPr>
          <w:b/>
          <w:bCs/>
          <w:szCs w:val="24"/>
        </w:rPr>
        <w:t xml:space="preserve">Gloucester City Council’s </w:t>
      </w:r>
      <w:r w:rsidR="0020780A" w:rsidRPr="005F4AB5">
        <w:rPr>
          <w:b/>
          <w:bCs/>
          <w:szCs w:val="24"/>
        </w:rPr>
        <w:t>Local Housing Need (worked calculation)</w:t>
      </w:r>
      <w:bookmarkEnd w:id="96"/>
      <w:r w:rsidR="0020780A" w:rsidRPr="005F4AB5">
        <w:rPr>
          <w:b/>
          <w:bCs/>
          <w:szCs w:val="24"/>
        </w:rPr>
        <w:t xml:space="preserve"> </w:t>
      </w:r>
    </w:p>
    <w:p w14:paraId="2A3E75B5" w14:textId="77777777" w:rsidR="00F841FF" w:rsidRDefault="00F841FF" w:rsidP="000D58DB">
      <w:pPr>
        <w:rPr>
          <w:b/>
          <w:bCs/>
          <w:szCs w:val="24"/>
        </w:rPr>
      </w:pPr>
    </w:p>
    <w:tbl>
      <w:tblPr>
        <w:tblStyle w:val="TableGrid"/>
        <w:tblW w:w="0" w:type="auto"/>
        <w:tblLook w:val="04A0" w:firstRow="1" w:lastRow="0" w:firstColumn="1" w:lastColumn="0" w:noHBand="0" w:noVBand="1"/>
      </w:tblPr>
      <w:tblGrid>
        <w:gridCol w:w="9660"/>
      </w:tblGrid>
      <w:tr w:rsidR="00F841FF" w14:paraId="2B4FA512" w14:textId="77777777" w:rsidTr="00394E53">
        <w:tc>
          <w:tcPr>
            <w:tcW w:w="9660" w:type="dxa"/>
          </w:tcPr>
          <w:p w14:paraId="29EF44DF" w14:textId="77777777" w:rsidR="00F841FF" w:rsidRPr="005F4AB5" w:rsidRDefault="00F841FF" w:rsidP="00F841FF">
            <w:pPr>
              <w:widowControl/>
              <w:autoSpaceDE/>
              <w:autoSpaceDN/>
              <w:spacing w:line="276" w:lineRule="auto"/>
              <w:rPr>
                <w:b/>
                <w:szCs w:val="24"/>
              </w:rPr>
            </w:pPr>
            <w:r w:rsidRPr="005F4AB5">
              <w:rPr>
                <w:b/>
                <w:szCs w:val="24"/>
              </w:rPr>
              <w:t>Step 1: Setting the baseline</w:t>
            </w:r>
          </w:p>
          <w:p w14:paraId="5B31EE5C" w14:textId="77777777" w:rsidR="00F841FF" w:rsidRPr="005F4AB5" w:rsidRDefault="00F841FF" w:rsidP="00F841FF">
            <w:pPr>
              <w:widowControl/>
              <w:autoSpaceDE/>
              <w:autoSpaceDN/>
              <w:spacing w:line="276" w:lineRule="auto"/>
              <w:rPr>
                <w:szCs w:val="24"/>
                <w:lang w:val="en-GB"/>
              </w:rPr>
            </w:pPr>
            <w:r w:rsidRPr="005F4AB5">
              <w:rPr>
                <w:szCs w:val="24"/>
              </w:rPr>
              <w:t xml:space="preserve">Total existing housing stock 2024 (unrounded): </w:t>
            </w:r>
            <w:r w:rsidRPr="005F4AB5">
              <w:rPr>
                <w:szCs w:val="24"/>
                <w:lang w:val="en-GB"/>
              </w:rPr>
              <w:t>59,484</w:t>
            </w:r>
          </w:p>
          <w:p w14:paraId="259226FA" w14:textId="77777777" w:rsidR="00F841FF" w:rsidRPr="005F4AB5" w:rsidRDefault="00F841FF" w:rsidP="00F841FF">
            <w:pPr>
              <w:widowControl/>
              <w:autoSpaceDE/>
              <w:autoSpaceDN/>
              <w:spacing w:line="276" w:lineRule="auto"/>
              <w:rPr>
                <w:szCs w:val="24"/>
              </w:rPr>
            </w:pPr>
            <w:r w:rsidRPr="005F4AB5">
              <w:rPr>
                <w:szCs w:val="24"/>
              </w:rPr>
              <w:t>0.8% of 59,484: 475.872</w:t>
            </w:r>
          </w:p>
          <w:p w14:paraId="70E8BAB5" w14:textId="77777777" w:rsidR="00F841FF" w:rsidRDefault="00F841FF" w:rsidP="000D58DB">
            <w:pPr>
              <w:rPr>
                <w:b/>
                <w:bCs/>
                <w:szCs w:val="24"/>
              </w:rPr>
            </w:pPr>
          </w:p>
        </w:tc>
      </w:tr>
      <w:tr w:rsidR="00F841FF" w14:paraId="51B2A466" w14:textId="77777777" w:rsidTr="006C23F0">
        <w:tc>
          <w:tcPr>
            <w:tcW w:w="9660" w:type="dxa"/>
          </w:tcPr>
          <w:p w14:paraId="372B82E3" w14:textId="77777777" w:rsidR="00F841FF" w:rsidRPr="005F4AB5" w:rsidRDefault="00F841FF" w:rsidP="00F841FF">
            <w:pPr>
              <w:widowControl/>
              <w:autoSpaceDE/>
              <w:autoSpaceDN/>
              <w:spacing w:line="276" w:lineRule="auto"/>
              <w:rPr>
                <w:b/>
                <w:szCs w:val="24"/>
              </w:rPr>
            </w:pPr>
            <w:r w:rsidRPr="005F4AB5">
              <w:rPr>
                <w:b/>
                <w:szCs w:val="24"/>
              </w:rPr>
              <w:t>Step 2: An adjustment to take account of affordability</w:t>
            </w:r>
          </w:p>
          <w:p w14:paraId="1B491B14" w14:textId="77777777" w:rsidR="00F841FF" w:rsidRPr="005F4AB5" w:rsidRDefault="00F841FF" w:rsidP="00F841FF">
            <w:pPr>
              <w:widowControl/>
              <w:autoSpaceDE/>
              <w:autoSpaceDN/>
              <w:spacing w:line="276" w:lineRule="auto"/>
              <w:rPr>
                <w:szCs w:val="24"/>
              </w:rPr>
            </w:pPr>
            <w:r w:rsidRPr="005F4AB5">
              <w:rPr>
                <w:szCs w:val="24"/>
              </w:rPr>
              <w:t>Median workplace-based affordability ratio 2024: 7.27</w:t>
            </w:r>
          </w:p>
          <w:p w14:paraId="5EA09539" w14:textId="77777777" w:rsidR="00F841FF" w:rsidRPr="005F4AB5" w:rsidRDefault="00F841FF" w:rsidP="00F841FF">
            <w:pPr>
              <w:widowControl/>
              <w:autoSpaceDE/>
              <w:autoSpaceDN/>
              <w:spacing w:line="276" w:lineRule="auto"/>
              <w:rPr>
                <w:szCs w:val="24"/>
              </w:rPr>
            </w:pPr>
            <w:r w:rsidRPr="005F4AB5">
              <w:rPr>
                <w:szCs w:val="24"/>
              </w:rPr>
              <w:t>Five-year mean average affordability ratio: 7.48</w:t>
            </w:r>
          </w:p>
          <w:p w14:paraId="51898612" w14:textId="77777777" w:rsidR="00F841FF" w:rsidRPr="005F4AB5" w:rsidRDefault="00F841FF" w:rsidP="00F841FF">
            <w:pPr>
              <w:widowControl/>
              <w:autoSpaceDE/>
              <w:autoSpaceDN/>
              <w:spacing w:line="276" w:lineRule="auto"/>
              <w:rPr>
                <w:szCs w:val="24"/>
              </w:rPr>
            </w:pPr>
            <w:r w:rsidRPr="005F4AB5">
              <w:rPr>
                <w:szCs w:val="24"/>
              </w:rPr>
              <w:t>Adjustment factor: 1.4712</w:t>
            </w:r>
          </w:p>
          <w:p w14:paraId="2547E1EA" w14:textId="77777777" w:rsidR="00F841FF" w:rsidRDefault="00F841FF" w:rsidP="000D58DB">
            <w:pPr>
              <w:rPr>
                <w:b/>
                <w:bCs/>
                <w:szCs w:val="24"/>
              </w:rPr>
            </w:pPr>
          </w:p>
        </w:tc>
      </w:tr>
      <w:tr w:rsidR="00F841FF" w14:paraId="6DF0A182" w14:textId="77777777" w:rsidTr="004874AB">
        <w:tc>
          <w:tcPr>
            <w:tcW w:w="9660" w:type="dxa"/>
          </w:tcPr>
          <w:p w14:paraId="52145D07" w14:textId="77777777" w:rsidR="00F841FF" w:rsidRPr="005F4AB5" w:rsidRDefault="00F841FF" w:rsidP="00F841FF">
            <w:pPr>
              <w:widowControl/>
              <w:autoSpaceDE/>
              <w:autoSpaceDN/>
              <w:spacing w:line="276" w:lineRule="auto"/>
              <w:rPr>
                <w:bCs/>
                <w:szCs w:val="24"/>
              </w:rPr>
            </w:pPr>
            <w:r w:rsidRPr="005F4AB5">
              <w:rPr>
                <w:b/>
                <w:szCs w:val="24"/>
              </w:rPr>
              <w:t xml:space="preserve">Local Housing Need (per annum): </w:t>
            </w:r>
            <w:r w:rsidRPr="005F4AB5">
              <w:rPr>
                <w:bCs/>
                <w:szCs w:val="24"/>
              </w:rPr>
              <w:t>700</w:t>
            </w:r>
          </w:p>
          <w:p w14:paraId="08458449" w14:textId="77777777" w:rsidR="00F841FF" w:rsidRDefault="00F841FF" w:rsidP="000D58DB">
            <w:pPr>
              <w:rPr>
                <w:b/>
                <w:bCs/>
                <w:szCs w:val="24"/>
              </w:rPr>
            </w:pPr>
          </w:p>
        </w:tc>
      </w:tr>
      <w:tr w:rsidR="00F841FF" w14:paraId="23B33BF6" w14:textId="77777777" w:rsidTr="00172A22">
        <w:tc>
          <w:tcPr>
            <w:tcW w:w="9660" w:type="dxa"/>
          </w:tcPr>
          <w:p w14:paraId="33BAD16A" w14:textId="77777777" w:rsidR="00F841FF" w:rsidRPr="005F4AB5" w:rsidRDefault="00F841FF" w:rsidP="00F841FF">
            <w:pPr>
              <w:widowControl/>
              <w:autoSpaceDE/>
              <w:autoSpaceDN/>
              <w:spacing w:line="276" w:lineRule="auto"/>
              <w:rPr>
                <w:bCs/>
                <w:szCs w:val="24"/>
              </w:rPr>
            </w:pPr>
            <w:r w:rsidRPr="005F4AB5">
              <w:rPr>
                <w:b/>
                <w:szCs w:val="24"/>
              </w:rPr>
              <w:t xml:space="preserve">Local Housing Need (per annum) with NPPF 5% buffer: </w:t>
            </w:r>
            <w:r w:rsidRPr="005F4AB5">
              <w:rPr>
                <w:bCs/>
                <w:szCs w:val="24"/>
              </w:rPr>
              <w:t>735</w:t>
            </w:r>
          </w:p>
          <w:p w14:paraId="4C3B8D94" w14:textId="77777777" w:rsidR="00F841FF" w:rsidRDefault="00F841FF" w:rsidP="000D58DB">
            <w:pPr>
              <w:rPr>
                <w:b/>
                <w:bCs/>
                <w:szCs w:val="24"/>
              </w:rPr>
            </w:pPr>
          </w:p>
        </w:tc>
      </w:tr>
    </w:tbl>
    <w:p w14:paraId="793DD412" w14:textId="77777777" w:rsidR="00F841FF" w:rsidRDefault="00F841FF" w:rsidP="000D58DB">
      <w:pPr>
        <w:rPr>
          <w:b/>
          <w:bCs/>
          <w:szCs w:val="24"/>
        </w:rPr>
      </w:pPr>
    </w:p>
    <w:p w14:paraId="45222253" w14:textId="77777777" w:rsidR="00F841FF" w:rsidRDefault="00F841FF" w:rsidP="000D58DB">
      <w:pPr>
        <w:rPr>
          <w:b/>
          <w:bCs/>
          <w:szCs w:val="24"/>
        </w:rPr>
      </w:pPr>
    </w:p>
    <w:p w14:paraId="0A535927" w14:textId="77777777" w:rsidR="00F841FF" w:rsidRDefault="00F841FF" w:rsidP="000D58DB">
      <w:pPr>
        <w:rPr>
          <w:b/>
          <w:bCs/>
          <w:szCs w:val="24"/>
        </w:rPr>
      </w:pPr>
    </w:p>
    <w:p w14:paraId="3B25DD13" w14:textId="77777777" w:rsidR="00F841FF" w:rsidRDefault="00F841FF" w:rsidP="000D58DB">
      <w:pPr>
        <w:rPr>
          <w:b/>
          <w:bCs/>
          <w:szCs w:val="24"/>
        </w:rPr>
      </w:pPr>
    </w:p>
    <w:p w14:paraId="093E3B74" w14:textId="77777777" w:rsidR="00F841FF" w:rsidRDefault="00F841FF" w:rsidP="000D58DB">
      <w:pPr>
        <w:rPr>
          <w:b/>
          <w:bCs/>
          <w:szCs w:val="24"/>
        </w:rPr>
      </w:pPr>
    </w:p>
    <w:p w14:paraId="24C0D164" w14:textId="77777777" w:rsidR="00F841FF" w:rsidRDefault="00F841FF" w:rsidP="000D58DB">
      <w:pPr>
        <w:rPr>
          <w:b/>
          <w:bCs/>
          <w:szCs w:val="24"/>
        </w:rPr>
      </w:pPr>
    </w:p>
    <w:p w14:paraId="384C5553" w14:textId="77777777" w:rsidR="00F841FF" w:rsidRDefault="00F841FF" w:rsidP="000D58DB">
      <w:pPr>
        <w:rPr>
          <w:b/>
          <w:bCs/>
          <w:szCs w:val="24"/>
        </w:rPr>
      </w:pPr>
    </w:p>
    <w:p w14:paraId="2AAF2910" w14:textId="77777777" w:rsidR="00F841FF" w:rsidRDefault="00F841FF" w:rsidP="000D58DB">
      <w:pPr>
        <w:rPr>
          <w:b/>
          <w:bCs/>
          <w:szCs w:val="24"/>
        </w:rPr>
      </w:pPr>
    </w:p>
    <w:p w14:paraId="1DCA985F" w14:textId="77777777" w:rsidR="00F841FF" w:rsidRDefault="00F841FF" w:rsidP="000D58DB">
      <w:pPr>
        <w:rPr>
          <w:b/>
          <w:bCs/>
          <w:szCs w:val="24"/>
        </w:rPr>
      </w:pPr>
    </w:p>
    <w:p w14:paraId="519F4801" w14:textId="77777777" w:rsidR="00F841FF" w:rsidRDefault="00F841FF" w:rsidP="000D58DB">
      <w:pPr>
        <w:rPr>
          <w:b/>
          <w:bCs/>
          <w:szCs w:val="24"/>
        </w:rPr>
      </w:pPr>
    </w:p>
    <w:p w14:paraId="43FF47B3" w14:textId="77777777" w:rsidR="00F841FF" w:rsidRDefault="00F841FF" w:rsidP="000D58DB">
      <w:pPr>
        <w:rPr>
          <w:b/>
          <w:bCs/>
          <w:szCs w:val="24"/>
        </w:rPr>
      </w:pPr>
    </w:p>
    <w:p w14:paraId="2D335144" w14:textId="77777777" w:rsidR="00F841FF" w:rsidRDefault="00F841FF" w:rsidP="000D58DB">
      <w:pPr>
        <w:rPr>
          <w:b/>
          <w:bCs/>
          <w:szCs w:val="24"/>
        </w:rPr>
      </w:pPr>
    </w:p>
    <w:p w14:paraId="2A53A0DB" w14:textId="77777777" w:rsidR="00F841FF" w:rsidRDefault="00F841FF" w:rsidP="000D58DB">
      <w:pPr>
        <w:rPr>
          <w:b/>
          <w:bCs/>
          <w:szCs w:val="24"/>
        </w:rPr>
      </w:pPr>
    </w:p>
    <w:p w14:paraId="16E167A4" w14:textId="77777777" w:rsidR="00F841FF" w:rsidRDefault="00F841FF" w:rsidP="000D58DB">
      <w:pPr>
        <w:rPr>
          <w:b/>
          <w:bCs/>
          <w:szCs w:val="24"/>
        </w:rPr>
      </w:pPr>
    </w:p>
    <w:p w14:paraId="39DDAC9C" w14:textId="77777777" w:rsidR="00F841FF" w:rsidRDefault="00F841FF" w:rsidP="000D58DB">
      <w:pPr>
        <w:rPr>
          <w:b/>
          <w:bCs/>
          <w:szCs w:val="24"/>
        </w:rPr>
      </w:pPr>
    </w:p>
    <w:p w14:paraId="443262A6" w14:textId="77777777" w:rsidR="00F841FF" w:rsidRDefault="00F841FF" w:rsidP="000D58DB">
      <w:pPr>
        <w:rPr>
          <w:b/>
          <w:bCs/>
          <w:szCs w:val="24"/>
        </w:rPr>
      </w:pPr>
    </w:p>
    <w:p w14:paraId="6C6E8B12" w14:textId="77777777" w:rsidR="00F841FF" w:rsidRDefault="00F841FF" w:rsidP="000D58DB">
      <w:pPr>
        <w:rPr>
          <w:b/>
          <w:bCs/>
          <w:szCs w:val="24"/>
        </w:rPr>
      </w:pPr>
    </w:p>
    <w:p w14:paraId="3471A8B6" w14:textId="77777777" w:rsidR="00F841FF" w:rsidRPr="005F4AB5" w:rsidRDefault="00F841FF" w:rsidP="000D58DB">
      <w:pPr>
        <w:rPr>
          <w:szCs w:val="24"/>
        </w:rPr>
      </w:pPr>
    </w:p>
    <w:p w14:paraId="4AB6B584" w14:textId="77777777" w:rsidR="00791BB0" w:rsidRPr="005F4AB5" w:rsidRDefault="00791BB0" w:rsidP="00791BB0">
      <w:pPr>
        <w:widowControl/>
        <w:autoSpaceDE/>
        <w:autoSpaceDN/>
        <w:spacing w:line="276" w:lineRule="auto"/>
        <w:rPr>
          <w:b/>
          <w:szCs w:val="24"/>
        </w:rPr>
      </w:pPr>
    </w:p>
    <w:p w14:paraId="1DD748FF" w14:textId="77777777" w:rsidR="008A2B6D" w:rsidRPr="005F4AB5" w:rsidRDefault="008A2B6D" w:rsidP="00791BB0">
      <w:pPr>
        <w:widowControl/>
        <w:autoSpaceDE/>
        <w:autoSpaceDN/>
        <w:spacing w:line="276" w:lineRule="auto"/>
        <w:rPr>
          <w:szCs w:val="24"/>
        </w:rPr>
      </w:pPr>
    </w:p>
    <w:p w14:paraId="2529E583" w14:textId="77777777" w:rsidR="007D480E" w:rsidRPr="005F4AB5" w:rsidRDefault="007D480E" w:rsidP="00791BB0">
      <w:pPr>
        <w:widowControl/>
        <w:autoSpaceDE/>
        <w:autoSpaceDN/>
        <w:spacing w:line="276" w:lineRule="auto"/>
        <w:rPr>
          <w:szCs w:val="24"/>
        </w:rPr>
      </w:pPr>
    </w:p>
    <w:p w14:paraId="46F1168A" w14:textId="77777777" w:rsidR="00EA07C5" w:rsidRPr="005F4AB5" w:rsidRDefault="00EA07C5" w:rsidP="00791BB0">
      <w:pPr>
        <w:widowControl/>
        <w:autoSpaceDE/>
        <w:autoSpaceDN/>
        <w:spacing w:line="276" w:lineRule="auto"/>
        <w:rPr>
          <w:b/>
          <w:szCs w:val="24"/>
        </w:rPr>
      </w:pPr>
    </w:p>
    <w:p w14:paraId="5E9312D6" w14:textId="77777777" w:rsidR="009A17A3" w:rsidRPr="005F4AB5" w:rsidRDefault="009A17A3" w:rsidP="00791BB0">
      <w:pPr>
        <w:widowControl/>
        <w:autoSpaceDE/>
        <w:autoSpaceDN/>
        <w:spacing w:line="276" w:lineRule="auto"/>
        <w:rPr>
          <w:b/>
          <w:szCs w:val="24"/>
        </w:rPr>
      </w:pPr>
    </w:p>
    <w:p w14:paraId="6B446DD7" w14:textId="77777777" w:rsidR="009A17A3" w:rsidRPr="005F4AB5" w:rsidRDefault="009A17A3" w:rsidP="00791BB0">
      <w:pPr>
        <w:widowControl/>
        <w:autoSpaceDE/>
        <w:autoSpaceDN/>
        <w:spacing w:line="276" w:lineRule="auto"/>
        <w:rPr>
          <w:b/>
          <w:szCs w:val="24"/>
        </w:rPr>
      </w:pPr>
    </w:p>
    <w:p w14:paraId="3CC166CB" w14:textId="77777777" w:rsidR="009A17A3" w:rsidRPr="005F4AB5" w:rsidRDefault="009A17A3" w:rsidP="00791BB0">
      <w:pPr>
        <w:widowControl/>
        <w:autoSpaceDE/>
        <w:autoSpaceDN/>
        <w:spacing w:line="276" w:lineRule="auto"/>
        <w:rPr>
          <w:b/>
          <w:szCs w:val="24"/>
        </w:rPr>
      </w:pPr>
    </w:p>
    <w:p w14:paraId="7DDB80AB" w14:textId="77777777" w:rsidR="009A17A3" w:rsidRPr="005F4AB5" w:rsidRDefault="009A17A3" w:rsidP="00791BB0">
      <w:pPr>
        <w:widowControl/>
        <w:autoSpaceDE/>
        <w:autoSpaceDN/>
        <w:spacing w:line="276" w:lineRule="auto"/>
        <w:rPr>
          <w:b/>
          <w:szCs w:val="24"/>
        </w:rPr>
      </w:pPr>
    </w:p>
    <w:p w14:paraId="1093DA87" w14:textId="77777777" w:rsidR="009A17A3" w:rsidRPr="005F4AB5" w:rsidRDefault="009A17A3" w:rsidP="00791BB0">
      <w:pPr>
        <w:widowControl/>
        <w:autoSpaceDE/>
        <w:autoSpaceDN/>
        <w:spacing w:line="276" w:lineRule="auto"/>
        <w:rPr>
          <w:b/>
          <w:szCs w:val="24"/>
        </w:rPr>
      </w:pPr>
    </w:p>
    <w:p w14:paraId="2E5BDE7F" w14:textId="77777777" w:rsidR="009A17A3" w:rsidRPr="005F4AB5" w:rsidRDefault="009A17A3" w:rsidP="00791BB0">
      <w:pPr>
        <w:widowControl/>
        <w:autoSpaceDE/>
        <w:autoSpaceDN/>
        <w:spacing w:line="276" w:lineRule="auto"/>
        <w:rPr>
          <w:b/>
          <w:szCs w:val="24"/>
        </w:rPr>
      </w:pPr>
    </w:p>
    <w:p w14:paraId="0768EAB8" w14:textId="77777777" w:rsidR="009A17A3" w:rsidRPr="005F4AB5" w:rsidRDefault="009A17A3" w:rsidP="00791BB0">
      <w:pPr>
        <w:widowControl/>
        <w:autoSpaceDE/>
        <w:autoSpaceDN/>
        <w:spacing w:line="276" w:lineRule="auto"/>
        <w:rPr>
          <w:b/>
          <w:szCs w:val="24"/>
        </w:rPr>
      </w:pPr>
    </w:p>
    <w:p w14:paraId="4E6E6CE7" w14:textId="77777777" w:rsidR="009A17A3" w:rsidRPr="005F4AB5" w:rsidRDefault="009A17A3" w:rsidP="00791BB0">
      <w:pPr>
        <w:widowControl/>
        <w:autoSpaceDE/>
        <w:autoSpaceDN/>
        <w:spacing w:line="276" w:lineRule="auto"/>
        <w:rPr>
          <w:b/>
          <w:szCs w:val="24"/>
        </w:rPr>
      </w:pPr>
    </w:p>
    <w:p w14:paraId="4DBD0C1F" w14:textId="77777777" w:rsidR="006B5129" w:rsidRPr="005F4AB5" w:rsidRDefault="006B5129" w:rsidP="00791BB0">
      <w:pPr>
        <w:widowControl/>
        <w:autoSpaceDE/>
        <w:autoSpaceDN/>
        <w:spacing w:line="276" w:lineRule="auto"/>
        <w:rPr>
          <w:b/>
          <w:color w:val="00B050"/>
          <w:szCs w:val="24"/>
        </w:rPr>
        <w:sectPr w:rsidR="006B5129" w:rsidRPr="005F4AB5" w:rsidSect="0096264B">
          <w:footerReference w:type="default" r:id="rId24"/>
          <w:pgSz w:w="11910" w:h="16840"/>
          <w:pgMar w:top="1340" w:right="1120" w:bottom="993" w:left="1120" w:header="0" w:footer="260" w:gutter="0"/>
          <w:cols w:space="720"/>
          <w:docGrid w:linePitch="299"/>
        </w:sectPr>
      </w:pPr>
    </w:p>
    <w:p w14:paraId="4BC53463" w14:textId="7F25DEA3" w:rsidR="0083494A" w:rsidRPr="005F4AB5" w:rsidRDefault="000D58DB" w:rsidP="002A3260">
      <w:pPr>
        <w:pStyle w:val="Heading2"/>
        <w:numPr>
          <w:ilvl w:val="0"/>
          <w:numId w:val="0"/>
        </w:numPr>
        <w:rPr>
          <w:color w:val="auto"/>
        </w:rPr>
      </w:pPr>
      <w:bookmarkStart w:id="97" w:name="_Ref178687883"/>
      <w:bookmarkStart w:id="98" w:name="_Toc210303309"/>
      <w:bookmarkStart w:id="99" w:name="_Toc210308100"/>
      <w:bookmarkStart w:id="100" w:name="_Ref177636268"/>
      <w:bookmarkEnd w:id="93"/>
      <w:r w:rsidRPr="005F4AB5">
        <w:rPr>
          <w:color w:val="auto"/>
        </w:rPr>
        <w:lastRenderedPageBreak/>
        <w:t xml:space="preserve">Appendix </w:t>
      </w:r>
      <w:r w:rsidR="0028318A" w:rsidRPr="005F4AB5">
        <w:rPr>
          <w:color w:val="auto"/>
        </w:rPr>
        <w:t>2</w:t>
      </w:r>
      <w:r w:rsidRPr="005F4AB5">
        <w:rPr>
          <w:color w:val="auto"/>
        </w:rPr>
        <w:t>: All Sites</w:t>
      </w:r>
      <w:bookmarkEnd w:id="97"/>
      <w:bookmarkEnd w:id="98"/>
      <w:bookmarkEnd w:id="99"/>
      <w:r w:rsidRPr="005F4AB5">
        <w:rPr>
          <w:color w:val="auto"/>
        </w:rPr>
        <w:t xml:space="preserve"> </w:t>
      </w:r>
      <w:bookmarkEnd w:id="100"/>
    </w:p>
    <w:tbl>
      <w:tblPr>
        <w:tblStyle w:val="List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19"/>
        <w:gridCol w:w="1136"/>
        <w:gridCol w:w="1336"/>
        <w:gridCol w:w="1592"/>
        <w:gridCol w:w="1502"/>
        <w:gridCol w:w="1229"/>
        <w:gridCol w:w="928"/>
        <w:gridCol w:w="1022"/>
        <w:gridCol w:w="1022"/>
        <w:gridCol w:w="1014"/>
        <w:gridCol w:w="1023"/>
        <w:gridCol w:w="1018"/>
        <w:gridCol w:w="1056"/>
      </w:tblGrid>
      <w:tr w:rsidR="00104E16" w:rsidRPr="005F4AB5" w14:paraId="1CB6228C" w14:textId="77777777" w:rsidTr="00BC3D90">
        <w:trPr>
          <w:cnfStyle w:val="100000000000" w:firstRow="1" w:lastRow="0" w:firstColumn="0" w:lastColumn="0" w:oddVBand="0" w:evenVBand="0" w:oddHBand="0" w:evenHBand="0" w:firstRowFirstColumn="0" w:firstRowLastColumn="0" w:lastRowFirstColumn="0" w:lastRowLastColumn="0"/>
          <w:trHeight w:val="123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4109694" w14:textId="77777777" w:rsidR="00D9252C" w:rsidRPr="005F4AB5" w:rsidRDefault="00D9252C" w:rsidP="00D9252C">
            <w:pPr>
              <w:widowControl/>
              <w:autoSpaceDE/>
              <w:autoSpaceDN/>
              <w:rPr>
                <w:rFonts w:eastAsia="Times New Roman"/>
                <w:b w:val="0"/>
                <w:bCs w:val="0"/>
                <w:sz w:val="20"/>
                <w:szCs w:val="20"/>
                <w:lang w:val="en-GB" w:eastAsia="en-GB"/>
              </w:rPr>
            </w:pPr>
            <w:r w:rsidRPr="005F4AB5">
              <w:rPr>
                <w:rFonts w:eastAsia="Times New Roman"/>
                <w:sz w:val="20"/>
                <w:szCs w:val="20"/>
                <w:lang w:val="en-GB" w:eastAsia="en-GB"/>
              </w:rPr>
              <w:t>Type</w:t>
            </w:r>
          </w:p>
        </w:tc>
        <w:tc>
          <w:tcPr>
            <w:tcW w:w="0" w:type="auto"/>
            <w:shd w:val="clear" w:color="auto" w:fill="FFFFFF" w:themeFill="background1"/>
            <w:hideMark/>
          </w:tcPr>
          <w:p w14:paraId="0B6D4F36" w14:textId="77777777" w:rsidR="00D9252C" w:rsidRPr="005F4AB5" w:rsidRDefault="00D9252C" w:rsidP="00D9252C">
            <w:pPr>
              <w:widowControl/>
              <w:autoSpaceDE/>
              <w:autoSpaceDN/>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val="en-GB" w:eastAsia="en-GB"/>
              </w:rPr>
            </w:pPr>
            <w:r w:rsidRPr="005F4AB5">
              <w:rPr>
                <w:rFonts w:eastAsia="Times New Roman"/>
                <w:sz w:val="20"/>
                <w:szCs w:val="20"/>
                <w:lang w:val="en-GB" w:eastAsia="en-GB"/>
              </w:rPr>
              <w:t>NPPF Delivery Category</w:t>
            </w:r>
          </w:p>
        </w:tc>
        <w:tc>
          <w:tcPr>
            <w:tcW w:w="0" w:type="auto"/>
            <w:shd w:val="clear" w:color="auto" w:fill="FFFFFF" w:themeFill="background1"/>
            <w:hideMark/>
          </w:tcPr>
          <w:p w14:paraId="7B847ADE" w14:textId="77777777" w:rsidR="00D9252C" w:rsidRPr="005F4AB5" w:rsidRDefault="00D9252C" w:rsidP="00D9252C">
            <w:pPr>
              <w:widowControl/>
              <w:autoSpaceDE/>
              <w:autoSpaceDN/>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val="en-GB" w:eastAsia="en-GB"/>
              </w:rPr>
            </w:pPr>
            <w:r w:rsidRPr="005F4AB5">
              <w:rPr>
                <w:rFonts w:eastAsia="Times New Roman"/>
                <w:sz w:val="20"/>
                <w:szCs w:val="20"/>
                <w:lang w:val="en-GB" w:eastAsia="en-GB"/>
              </w:rPr>
              <w:t>Status (Not started OR Under construction)</w:t>
            </w:r>
          </w:p>
        </w:tc>
        <w:tc>
          <w:tcPr>
            <w:tcW w:w="0" w:type="auto"/>
            <w:shd w:val="clear" w:color="auto" w:fill="FFFFFF" w:themeFill="background1"/>
            <w:hideMark/>
          </w:tcPr>
          <w:p w14:paraId="246A95F4" w14:textId="77777777" w:rsidR="00D9252C" w:rsidRPr="005F4AB5" w:rsidRDefault="00D9252C" w:rsidP="00D9252C">
            <w:pPr>
              <w:widowControl/>
              <w:autoSpaceDE/>
              <w:autoSpaceDN/>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val="en-GB" w:eastAsia="en-GB"/>
              </w:rPr>
            </w:pPr>
            <w:r w:rsidRPr="005F4AB5">
              <w:rPr>
                <w:rFonts w:eastAsia="Times New Roman"/>
                <w:sz w:val="20"/>
                <w:szCs w:val="20"/>
                <w:lang w:val="en-GB" w:eastAsia="en-GB"/>
              </w:rPr>
              <w:t>Permission Reference</w:t>
            </w:r>
          </w:p>
        </w:tc>
        <w:tc>
          <w:tcPr>
            <w:tcW w:w="0" w:type="auto"/>
            <w:shd w:val="clear" w:color="auto" w:fill="FFFFFF" w:themeFill="background1"/>
            <w:hideMark/>
          </w:tcPr>
          <w:p w14:paraId="28077C7F" w14:textId="77777777" w:rsidR="00D9252C" w:rsidRPr="005F4AB5" w:rsidRDefault="00D9252C" w:rsidP="00D9252C">
            <w:pPr>
              <w:widowControl/>
              <w:autoSpaceDE/>
              <w:autoSpaceDN/>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val="en-GB" w:eastAsia="en-GB"/>
              </w:rPr>
            </w:pPr>
            <w:r w:rsidRPr="005F4AB5">
              <w:rPr>
                <w:rFonts w:eastAsia="Times New Roman"/>
                <w:sz w:val="20"/>
                <w:szCs w:val="20"/>
                <w:lang w:val="en-GB" w:eastAsia="en-GB"/>
              </w:rPr>
              <w:t>Site Name</w:t>
            </w:r>
          </w:p>
        </w:tc>
        <w:tc>
          <w:tcPr>
            <w:tcW w:w="0" w:type="auto"/>
            <w:shd w:val="clear" w:color="auto" w:fill="FFFFFF" w:themeFill="background1"/>
            <w:hideMark/>
          </w:tcPr>
          <w:p w14:paraId="423FD939" w14:textId="432EA84A" w:rsidR="00D9252C" w:rsidRPr="005F4AB5" w:rsidRDefault="00E07A07" w:rsidP="00D9252C">
            <w:pPr>
              <w:widowControl/>
              <w:autoSpaceDE/>
              <w:autoSpaceDN/>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val="en-GB" w:eastAsia="en-GB"/>
              </w:rPr>
            </w:pPr>
            <w:r w:rsidRPr="005F4AB5">
              <w:rPr>
                <w:rFonts w:eastAsia="Times New Roman"/>
                <w:sz w:val="20"/>
                <w:szCs w:val="20"/>
                <w:lang w:val="en-GB" w:eastAsia="en-GB"/>
              </w:rPr>
              <w:t>Ward</w:t>
            </w:r>
          </w:p>
        </w:tc>
        <w:tc>
          <w:tcPr>
            <w:tcW w:w="0" w:type="auto"/>
            <w:shd w:val="clear" w:color="auto" w:fill="FFFFFF" w:themeFill="background1"/>
            <w:hideMark/>
          </w:tcPr>
          <w:p w14:paraId="267D2551" w14:textId="77777777" w:rsidR="00D9252C" w:rsidRPr="005F4AB5" w:rsidRDefault="00D9252C" w:rsidP="00D9252C">
            <w:pPr>
              <w:widowControl/>
              <w:autoSpaceDE/>
              <w:autoSpaceDN/>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val="en-GB" w:eastAsia="en-GB"/>
              </w:rPr>
            </w:pPr>
            <w:r w:rsidRPr="005F4AB5">
              <w:rPr>
                <w:rFonts w:eastAsia="Times New Roman"/>
                <w:sz w:val="20"/>
                <w:szCs w:val="20"/>
                <w:lang w:val="en-GB" w:eastAsia="en-GB"/>
              </w:rPr>
              <w:t>Net Site Capacity</w:t>
            </w:r>
          </w:p>
        </w:tc>
        <w:tc>
          <w:tcPr>
            <w:tcW w:w="0" w:type="auto"/>
            <w:shd w:val="clear" w:color="auto" w:fill="FFFFFF" w:themeFill="background1"/>
            <w:hideMark/>
          </w:tcPr>
          <w:p w14:paraId="2A0D6473" w14:textId="1E94942A" w:rsidR="00D9252C" w:rsidRPr="005F4AB5" w:rsidRDefault="00D9252C" w:rsidP="00D9252C">
            <w:pPr>
              <w:widowControl/>
              <w:autoSpaceDE/>
              <w:autoSpaceDN/>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val="en-GB" w:eastAsia="en-GB"/>
              </w:rPr>
            </w:pPr>
            <w:r w:rsidRPr="005F4AB5">
              <w:rPr>
                <w:rFonts w:eastAsia="Times New Roman"/>
                <w:sz w:val="20"/>
                <w:szCs w:val="20"/>
                <w:lang w:val="en-GB" w:eastAsia="en-GB"/>
              </w:rPr>
              <w:t xml:space="preserve">2025-26 </w:t>
            </w:r>
            <w:r w:rsidR="00104E16">
              <w:rPr>
                <w:rFonts w:eastAsia="Times New Roman"/>
                <w:sz w:val="20"/>
                <w:szCs w:val="20"/>
                <w:lang w:val="en-GB" w:eastAsia="en-GB"/>
              </w:rPr>
              <w:t xml:space="preserve">Projected </w:t>
            </w:r>
            <w:r w:rsidRPr="005F4AB5">
              <w:rPr>
                <w:rFonts w:eastAsia="Times New Roman"/>
                <w:sz w:val="20"/>
                <w:szCs w:val="20"/>
                <w:lang w:val="en-GB" w:eastAsia="en-GB"/>
              </w:rPr>
              <w:t xml:space="preserve">Delivery </w:t>
            </w:r>
          </w:p>
        </w:tc>
        <w:tc>
          <w:tcPr>
            <w:tcW w:w="0" w:type="auto"/>
            <w:shd w:val="clear" w:color="auto" w:fill="FFFFFF" w:themeFill="background1"/>
            <w:hideMark/>
          </w:tcPr>
          <w:p w14:paraId="5ED36951" w14:textId="7F65978A" w:rsidR="00D9252C" w:rsidRPr="005F4AB5" w:rsidRDefault="00D9252C" w:rsidP="00D9252C">
            <w:pPr>
              <w:widowControl/>
              <w:autoSpaceDE/>
              <w:autoSpaceDN/>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val="en-GB" w:eastAsia="en-GB"/>
              </w:rPr>
            </w:pPr>
            <w:r w:rsidRPr="005F4AB5">
              <w:rPr>
                <w:rFonts w:eastAsia="Times New Roman"/>
                <w:sz w:val="20"/>
                <w:szCs w:val="20"/>
                <w:lang w:val="en-GB" w:eastAsia="en-GB"/>
              </w:rPr>
              <w:t xml:space="preserve">2026-27 </w:t>
            </w:r>
            <w:r w:rsidR="00104E16">
              <w:rPr>
                <w:rFonts w:eastAsia="Times New Roman"/>
                <w:sz w:val="20"/>
                <w:szCs w:val="20"/>
                <w:lang w:val="en-GB" w:eastAsia="en-GB"/>
              </w:rPr>
              <w:t>Projected</w:t>
            </w:r>
            <w:r w:rsidRPr="005F4AB5">
              <w:rPr>
                <w:rFonts w:eastAsia="Times New Roman"/>
                <w:sz w:val="20"/>
                <w:szCs w:val="20"/>
                <w:lang w:val="en-GB" w:eastAsia="en-GB"/>
              </w:rPr>
              <w:t xml:space="preserve"> Delivery </w:t>
            </w:r>
          </w:p>
        </w:tc>
        <w:tc>
          <w:tcPr>
            <w:tcW w:w="0" w:type="auto"/>
            <w:shd w:val="clear" w:color="auto" w:fill="FFFFFF" w:themeFill="background1"/>
            <w:hideMark/>
          </w:tcPr>
          <w:p w14:paraId="6A41CC98" w14:textId="77777777" w:rsidR="00104E16" w:rsidRDefault="00D9252C" w:rsidP="00D9252C">
            <w:pPr>
              <w:widowControl/>
              <w:autoSpaceDE/>
              <w:autoSpaceDN/>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val="en-GB" w:eastAsia="en-GB"/>
              </w:rPr>
            </w:pPr>
            <w:r w:rsidRPr="005F4AB5">
              <w:rPr>
                <w:rFonts w:eastAsia="Times New Roman"/>
                <w:sz w:val="20"/>
                <w:szCs w:val="20"/>
                <w:lang w:val="en-GB" w:eastAsia="en-GB"/>
              </w:rPr>
              <w:t xml:space="preserve">2027-28 </w:t>
            </w:r>
          </w:p>
          <w:p w14:paraId="0D56694A" w14:textId="77777777" w:rsidR="00104E16" w:rsidRDefault="00104E16" w:rsidP="00D9252C">
            <w:pPr>
              <w:widowControl/>
              <w:autoSpaceDE/>
              <w:autoSpaceDN/>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val="en-GB" w:eastAsia="en-GB"/>
              </w:rPr>
            </w:pPr>
            <w:r>
              <w:rPr>
                <w:rFonts w:eastAsia="Times New Roman"/>
                <w:sz w:val="20"/>
                <w:szCs w:val="20"/>
                <w:lang w:val="en-GB" w:eastAsia="en-GB"/>
              </w:rPr>
              <w:t>Projected</w:t>
            </w:r>
          </w:p>
          <w:p w14:paraId="6F7C2496" w14:textId="3BC846F1" w:rsidR="00D9252C" w:rsidRPr="005F4AB5" w:rsidRDefault="00D9252C" w:rsidP="00D9252C">
            <w:pPr>
              <w:widowControl/>
              <w:autoSpaceDE/>
              <w:autoSpaceDN/>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val="en-GB" w:eastAsia="en-GB"/>
              </w:rPr>
            </w:pPr>
            <w:r w:rsidRPr="005F4AB5">
              <w:rPr>
                <w:rFonts w:eastAsia="Times New Roman"/>
                <w:sz w:val="20"/>
                <w:szCs w:val="20"/>
                <w:lang w:val="en-GB" w:eastAsia="en-GB"/>
              </w:rPr>
              <w:t xml:space="preserve">Delivery </w:t>
            </w:r>
          </w:p>
        </w:tc>
        <w:tc>
          <w:tcPr>
            <w:tcW w:w="0" w:type="auto"/>
            <w:shd w:val="clear" w:color="auto" w:fill="FFFFFF" w:themeFill="background1"/>
            <w:hideMark/>
          </w:tcPr>
          <w:p w14:paraId="0894785F" w14:textId="324CF071" w:rsidR="00D9252C" w:rsidRPr="005F4AB5" w:rsidRDefault="00D9252C" w:rsidP="00D9252C">
            <w:pPr>
              <w:widowControl/>
              <w:autoSpaceDE/>
              <w:autoSpaceDN/>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val="en-GB" w:eastAsia="en-GB"/>
              </w:rPr>
            </w:pPr>
            <w:r w:rsidRPr="005F4AB5">
              <w:rPr>
                <w:rFonts w:eastAsia="Times New Roman"/>
                <w:sz w:val="20"/>
                <w:szCs w:val="20"/>
                <w:lang w:val="en-GB" w:eastAsia="en-GB"/>
              </w:rPr>
              <w:t xml:space="preserve">2028-29 </w:t>
            </w:r>
            <w:r w:rsidR="00104E16">
              <w:rPr>
                <w:rFonts w:eastAsia="Times New Roman"/>
                <w:sz w:val="20"/>
                <w:szCs w:val="20"/>
                <w:lang w:val="en-GB" w:eastAsia="en-GB"/>
              </w:rPr>
              <w:t xml:space="preserve">Projected </w:t>
            </w:r>
            <w:r w:rsidRPr="005F4AB5">
              <w:rPr>
                <w:rFonts w:eastAsia="Times New Roman"/>
                <w:sz w:val="20"/>
                <w:szCs w:val="20"/>
                <w:lang w:val="en-GB" w:eastAsia="en-GB"/>
              </w:rPr>
              <w:t xml:space="preserve"> Delivery </w:t>
            </w:r>
          </w:p>
        </w:tc>
        <w:tc>
          <w:tcPr>
            <w:tcW w:w="0" w:type="auto"/>
            <w:shd w:val="clear" w:color="auto" w:fill="FFFFFF" w:themeFill="background1"/>
            <w:hideMark/>
          </w:tcPr>
          <w:p w14:paraId="3FB4A159" w14:textId="77777777" w:rsidR="00104E16" w:rsidRDefault="00D9252C" w:rsidP="00D9252C">
            <w:pPr>
              <w:widowControl/>
              <w:autoSpaceDE/>
              <w:autoSpaceDN/>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val="en-GB" w:eastAsia="en-GB"/>
              </w:rPr>
            </w:pPr>
            <w:r w:rsidRPr="005F4AB5">
              <w:rPr>
                <w:rFonts w:eastAsia="Times New Roman"/>
                <w:sz w:val="20"/>
                <w:szCs w:val="20"/>
                <w:lang w:val="en-GB" w:eastAsia="en-GB"/>
              </w:rPr>
              <w:t xml:space="preserve">2029-30 </w:t>
            </w:r>
          </w:p>
          <w:p w14:paraId="42DA7AF3" w14:textId="486788B5" w:rsidR="00D9252C" w:rsidRPr="005F4AB5" w:rsidRDefault="00104E16" w:rsidP="00D9252C">
            <w:pPr>
              <w:widowControl/>
              <w:autoSpaceDE/>
              <w:autoSpaceDN/>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val="en-GB" w:eastAsia="en-GB"/>
              </w:rPr>
            </w:pPr>
            <w:r>
              <w:rPr>
                <w:rFonts w:eastAsia="Times New Roman"/>
                <w:sz w:val="20"/>
                <w:szCs w:val="20"/>
                <w:lang w:val="en-GB" w:eastAsia="en-GB"/>
              </w:rPr>
              <w:t xml:space="preserve">Projected </w:t>
            </w:r>
            <w:r w:rsidR="00D9252C" w:rsidRPr="005F4AB5">
              <w:rPr>
                <w:rFonts w:eastAsia="Times New Roman"/>
                <w:sz w:val="20"/>
                <w:szCs w:val="20"/>
                <w:lang w:val="en-GB" w:eastAsia="en-GB"/>
              </w:rPr>
              <w:t xml:space="preserve">Delivery </w:t>
            </w:r>
          </w:p>
        </w:tc>
        <w:tc>
          <w:tcPr>
            <w:tcW w:w="0" w:type="auto"/>
            <w:shd w:val="clear" w:color="auto" w:fill="FFFFFF" w:themeFill="background1"/>
            <w:hideMark/>
          </w:tcPr>
          <w:p w14:paraId="52AB9D15" w14:textId="77777777" w:rsidR="00D9252C" w:rsidRPr="005F4AB5" w:rsidRDefault="00D9252C" w:rsidP="00D9252C">
            <w:pPr>
              <w:widowControl/>
              <w:autoSpaceDE/>
              <w:autoSpaceDN/>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val="en-GB" w:eastAsia="en-GB"/>
              </w:rPr>
            </w:pPr>
            <w:r w:rsidRPr="005F4AB5">
              <w:rPr>
                <w:rFonts w:eastAsia="Times New Roman"/>
                <w:sz w:val="20"/>
                <w:szCs w:val="20"/>
                <w:lang w:val="en-GB" w:eastAsia="en-GB"/>
              </w:rPr>
              <w:t xml:space="preserve">Five-year total (1 April 2025 - 31 March 2030) - Projected Net Dwellings delivery </w:t>
            </w:r>
          </w:p>
        </w:tc>
      </w:tr>
      <w:tr w:rsidR="00104E16" w:rsidRPr="005F4AB5" w14:paraId="4B325D07"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2580843" w14:textId="0D0150DE" w:rsidR="00AA20C3" w:rsidRPr="005F4AB5" w:rsidRDefault="00AA20C3" w:rsidP="00AA20C3">
            <w:pPr>
              <w:widowControl/>
              <w:autoSpaceDE/>
              <w:autoSpaceDN/>
              <w:rPr>
                <w:rFonts w:eastAsia="Times New Roman"/>
                <w:sz w:val="20"/>
                <w:szCs w:val="20"/>
                <w:lang w:val="en-GB" w:eastAsia="en-GB"/>
              </w:rPr>
            </w:pPr>
            <w:r w:rsidRPr="005F4AB5">
              <w:rPr>
                <w:rFonts w:eastAsia="Times New Roman"/>
                <w:sz w:val="20"/>
                <w:szCs w:val="20"/>
                <w:lang w:val="en-GB" w:eastAsia="en-GB"/>
              </w:rPr>
              <w:t>A</w:t>
            </w:r>
          </w:p>
        </w:tc>
        <w:tc>
          <w:tcPr>
            <w:tcW w:w="0" w:type="auto"/>
            <w:shd w:val="clear" w:color="auto" w:fill="FFFFFF" w:themeFill="background1"/>
            <w:hideMark/>
          </w:tcPr>
          <w:p w14:paraId="5641BD0B" w14:textId="2BC0A465"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Large site: Detailed Planning</w:t>
            </w:r>
          </w:p>
        </w:tc>
        <w:tc>
          <w:tcPr>
            <w:tcW w:w="0" w:type="auto"/>
            <w:shd w:val="clear" w:color="auto" w:fill="FFFFFF" w:themeFill="background1"/>
          </w:tcPr>
          <w:p w14:paraId="32FE2C82" w14:textId="06A495A6"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5BFE4513" w14:textId="6FCECEF9"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22/00333/COU</w:t>
            </w:r>
          </w:p>
        </w:tc>
        <w:tc>
          <w:tcPr>
            <w:tcW w:w="0" w:type="auto"/>
            <w:shd w:val="clear" w:color="auto" w:fill="FFFFFF" w:themeFill="background1"/>
          </w:tcPr>
          <w:p w14:paraId="44ACDF8A" w14:textId="1B0B5271"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44-50 Eastgate Street</w:t>
            </w:r>
          </w:p>
        </w:tc>
        <w:tc>
          <w:tcPr>
            <w:tcW w:w="0" w:type="auto"/>
            <w:shd w:val="clear" w:color="auto" w:fill="FFFFFF" w:themeFill="background1"/>
          </w:tcPr>
          <w:p w14:paraId="370891B7" w14:textId="21557D98"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Westgate</w:t>
            </w:r>
          </w:p>
        </w:tc>
        <w:tc>
          <w:tcPr>
            <w:tcW w:w="0" w:type="auto"/>
            <w:shd w:val="clear" w:color="auto" w:fill="FFFFFF" w:themeFill="background1"/>
          </w:tcPr>
          <w:p w14:paraId="5ECAF87D" w14:textId="436D7485"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20</w:t>
            </w:r>
          </w:p>
        </w:tc>
        <w:tc>
          <w:tcPr>
            <w:tcW w:w="0" w:type="auto"/>
            <w:shd w:val="clear" w:color="auto" w:fill="FFFFFF" w:themeFill="background1"/>
          </w:tcPr>
          <w:p w14:paraId="2BABB98A" w14:textId="39EB19D0"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75F9ACB6" w14:textId="38607E95"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10</w:t>
            </w:r>
          </w:p>
        </w:tc>
        <w:tc>
          <w:tcPr>
            <w:tcW w:w="0" w:type="auto"/>
            <w:shd w:val="clear" w:color="auto" w:fill="FFFFFF" w:themeFill="background1"/>
          </w:tcPr>
          <w:p w14:paraId="0663AA32" w14:textId="0E8F9BAB"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10</w:t>
            </w:r>
          </w:p>
        </w:tc>
        <w:tc>
          <w:tcPr>
            <w:tcW w:w="0" w:type="auto"/>
            <w:shd w:val="clear" w:color="auto" w:fill="FFFFFF" w:themeFill="background1"/>
          </w:tcPr>
          <w:p w14:paraId="3884FF2E" w14:textId="41DC2672"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w:t>
            </w:r>
            <w:r w:rsidR="00634A44" w:rsidRPr="005F4AB5">
              <w:rPr>
                <w:sz w:val="20"/>
                <w:szCs w:val="20"/>
              </w:rPr>
              <w:t>0</w:t>
            </w:r>
          </w:p>
        </w:tc>
        <w:tc>
          <w:tcPr>
            <w:tcW w:w="0" w:type="auto"/>
            <w:shd w:val="clear" w:color="auto" w:fill="FFFFFF" w:themeFill="background1"/>
          </w:tcPr>
          <w:p w14:paraId="613E5855" w14:textId="35BBB0F7"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w:t>
            </w:r>
            <w:r w:rsidR="00634A44" w:rsidRPr="005F4AB5">
              <w:rPr>
                <w:sz w:val="20"/>
                <w:szCs w:val="20"/>
              </w:rPr>
              <w:t>0</w:t>
            </w:r>
          </w:p>
        </w:tc>
        <w:tc>
          <w:tcPr>
            <w:tcW w:w="0" w:type="auto"/>
            <w:shd w:val="clear" w:color="auto" w:fill="FFFFFF" w:themeFill="background1"/>
            <w:noWrap/>
          </w:tcPr>
          <w:p w14:paraId="2FCF9FCE" w14:textId="53E44DFA"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20</w:t>
            </w:r>
          </w:p>
        </w:tc>
      </w:tr>
      <w:tr w:rsidR="00104E16" w:rsidRPr="005F4AB5" w14:paraId="3FCA15DF"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627C269" w14:textId="4BDEC3AD" w:rsidR="00AA20C3" w:rsidRPr="005F4AB5" w:rsidRDefault="00AA20C3" w:rsidP="00AA20C3">
            <w:pPr>
              <w:widowControl/>
              <w:autoSpaceDE/>
              <w:autoSpaceDN/>
              <w:rPr>
                <w:rFonts w:eastAsia="Times New Roman"/>
                <w:sz w:val="20"/>
                <w:szCs w:val="20"/>
                <w:lang w:val="en-GB" w:eastAsia="en-GB"/>
              </w:rPr>
            </w:pPr>
            <w:r w:rsidRPr="005F4AB5">
              <w:rPr>
                <w:rFonts w:eastAsia="Times New Roman"/>
                <w:sz w:val="20"/>
                <w:szCs w:val="20"/>
                <w:lang w:val="en-GB" w:eastAsia="en-GB"/>
              </w:rPr>
              <w:t>A</w:t>
            </w:r>
          </w:p>
        </w:tc>
        <w:tc>
          <w:tcPr>
            <w:tcW w:w="0" w:type="auto"/>
            <w:shd w:val="clear" w:color="auto" w:fill="FFFFFF" w:themeFill="background1"/>
            <w:hideMark/>
          </w:tcPr>
          <w:p w14:paraId="1E5A336D" w14:textId="3CFE0BF1"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Large site: Detailed Planning</w:t>
            </w:r>
          </w:p>
        </w:tc>
        <w:tc>
          <w:tcPr>
            <w:tcW w:w="0" w:type="auto"/>
            <w:shd w:val="clear" w:color="auto" w:fill="FFFFFF" w:themeFill="background1"/>
          </w:tcPr>
          <w:p w14:paraId="0573AB0D" w14:textId="6398D4DD"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4175CC04" w14:textId="067AEB39"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xml:space="preserve">21/00825/JPA </w:t>
            </w:r>
          </w:p>
        </w:tc>
        <w:tc>
          <w:tcPr>
            <w:tcW w:w="0" w:type="auto"/>
            <w:shd w:val="clear" w:color="auto" w:fill="FFFFFF" w:themeFill="background1"/>
          </w:tcPr>
          <w:p w14:paraId="5F209B6E" w14:textId="4679494B"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xml:space="preserve">Cedar House, Spa Road </w:t>
            </w:r>
          </w:p>
        </w:tc>
        <w:tc>
          <w:tcPr>
            <w:tcW w:w="0" w:type="auto"/>
            <w:shd w:val="clear" w:color="auto" w:fill="FFFFFF" w:themeFill="background1"/>
          </w:tcPr>
          <w:p w14:paraId="00F7ACF9" w14:textId="5F64F220"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Westgate</w:t>
            </w:r>
          </w:p>
        </w:tc>
        <w:tc>
          <w:tcPr>
            <w:tcW w:w="0" w:type="auto"/>
            <w:shd w:val="clear" w:color="auto" w:fill="FFFFFF" w:themeFill="background1"/>
          </w:tcPr>
          <w:p w14:paraId="38B3700C" w14:textId="591BEDA7"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45</w:t>
            </w:r>
          </w:p>
        </w:tc>
        <w:tc>
          <w:tcPr>
            <w:tcW w:w="0" w:type="auto"/>
            <w:shd w:val="clear" w:color="auto" w:fill="FFFFFF" w:themeFill="background1"/>
          </w:tcPr>
          <w:p w14:paraId="56DE60EA" w14:textId="0B4A20EC"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2C38CD2C" w14:textId="68E4E667"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20</w:t>
            </w:r>
          </w:p>
        </w:tc>
        <w:tc>
          <w:tcPr>
            <w:tcW w:w="0" w:type="auto"/>
            <w:shd w:val="clear" w:color="auto" w:fill="FFFFFF" w:themeFill="background1"/>
          </w:tcPr>
          <w:p w14:paraId="1A23D47F" w14:textId="3653AA17"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20</w:t>
            </w:r>
          </w:p>
        </w:tc>
        <w:tc>
          <w:tcPr>
            <w:tcW w:w="0" w:type="auto"/>
            <w:shd w:val="clear" w:color="auto" w:fill="FFFFFF" w:themeFill="background1"/>
          </w:tcPr>
          <w:p w14:paraId="6B9BD8DC" w14:textId="5551CFB7"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5</w:t>
            </w:r>
          </w:p>
        </w:tc>
        <w:tc>
          <w:tcPr>
            <w:tcW w:w="0" w:type="auto"/>
            <w:shd w:val="clear" w:color="auto" w:fill="FFFFFF" w:themeFill="background1"/>
          </w:tcPr>
          <w:p w14:paraId="54DB7020" w14:textId="7C80CD7E"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w:t>
            </w:r>
            <w:r w:rsidR="00634A44" w:rsidRPr="005F4AB5">
              <w:rPr>
                <w:sz w:val="20"/>
                <w:szCs w:val="20"/>
              </w:rPr>
              <w:t>0</w:t>
            </w:r>
          </w:p>
        </w:tc>
        <w:tc>
          <w:tcPr>
            <w:tcW w:w="0" w:type="auto"/>
            <w:shd w:val="clear" w:color="auto" w:fill="FFFFFF" w:themeFill="background1"/>
            <w:noWrap/>
          </w:tcPr>
          <w:p w14:paraId="01694D60" w14:textId="6DB9DE8C"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45</w:t>
            </w:r>
          </w:p>
        </w:tc>
      </w:tr>
      <w:tr w:rsidR="00104E16" w:rsidRPr="005F4AB5" w14:paraId="0D7D63DC"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6B5D61E" w14:textId="0C757CF0" w:rsidR="00AA20C3" w:rsidRPr="005F4AB5" w:rsidRDefault="00AA20C3" w:rsidP="00AA20C3">
            <w:pPr>
              <w:widowControl/>
              <w:autoSpaceDE/>
              <w:autoSpaceDN/>
              <w:rPr>
                <w:rFonts w:eastAsia="Times New Roman"/>
                <w:sz w:val="20"/>
                <w:szCs w:val="20"/>
                <w:lang w:val="en-GB" w:eastAsia="en-GB"/>
              </w:rPr>
            </w:pPr>
            <w:r w:rsidRPr="005F4AB5">
              <w:rPr>
                <w:rFonts w:eastAsia="Times New Roman"/>
                <w:sz w:val="20"/>
                <w:szCs w:val="20"/>
                <w:lang w:val="en-GB" w:eastAsia="en-GB"/>
              </w:rPr>
              <w:t>A</w:t>
            </w:r>
          </w:p>
        </w:tc>
        <w:tc>
          <w:tcPr>
            <w:tcW w:w="0" w:type="auto"/>
            <w:shd w:val="clear" w:color="auto" w:fill="FFFFFF" w:themeFill="background1"/>
            <w:hideMark/>
          </w:tcPr>
          <w:p w14:paraId="48E4147D" w14:textId="3D6D2E58"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Large site: Detailed Planning</w:t>
            </w:r>
          </w:p>
        </w:tc>
        <w:tc>
          <w:tcPr>
            <w:tcW w:w="0" w:type="auto"/>
            <w:shd w:val="clear" w:color="auto" w:fill="FFFFFF" w:themeFill="background1"/>
          </w:tcPr>
          <w:p w14:paraId="70F2E636" w14:textId="790DB536"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3176878D" w14:textId="4955FA04"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22/00563/FUL</w:t>
            </w:r>
          </w:p>
        </w:tc>
        <w:tc>
          <w:tcPr>
            <w:tcW w:w="0" w:type="auto"/>
            <w:shd w:val="clear" w:color="auto" w:fill="FFFFFF" w:themeFill="background1"/>
          </w:tcPr>
          <w:p w14:paraId="2B3AEF49" w14:textId="050E5E2B"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Downings Malthouse, Merchants Road</w:t>
            </w:r>
          </w:p>
        </w:tc>
        <w:tc>
          <w:tcPr>
            <w:tcW w:w="0" w:type="auto"/>
            <w:shd w:val="clear" w:color="auto" w:fill="FFFFFF" w:themeFill="background1"/>
          </w:tcPr>
          <w:p w14:paraId="0EFA8CCD" w14:textId="7DE909FA"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Westgate</w:t>
            </w:r>
          </w:p>
        </w:tc>
        <w:tc>
          <w:tcPr>
            <w:tcW w:w="0" w:type="auto"/>
            <w:shd w:val="clear" w:color="auto" w:fill="FFFFFF" w:themeFill="background1"/>
          </w:tcPr>
          <w:p w14:paraId="3CF860AD" w14:textId="1F79099E"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117</w:t>
            </w:r>
          </w:p>
        </w:tc>
        <w:tc>
          <w:tcPr>
            <w:tcW w:w="0" w:type="auto"/>
            <w:shd w:val="clear" w:color="auto" w:fill="FFFFFF" w:themeFill="background1"/>
            <w:noWrap/>
          </w:tcPr>
          <w:p w14:paraId="1FA19C46" w14:textId="35DDC7D7"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noWrap/>
          </w:tcPr>
          <w:p w14:paraId="15F4F197" w14:textId="3067FA2D"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25</w:t>
            </w:r>
          </w:p>
        </w:tc>
        <w:tc>
          <w:tcPr>
            <w:tcW w:w="0" w:type="auto"/>
            <w:shd w:val="clear" w:color="auto" w:fill="FFFFFF" w:themeFill="background1"/>
            <w:noWrap/>
          </w:tcPr>
          <w:p w14:paraId="70E4DE42" w14:textId="42B10C52"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49</w:t>
            </w:r>
          </w:p>
        </w:tc>
        <w:tc>
          <w:tcPr>
            <w:tcW w:w="0" w:type="auto"/>
            <w:shd w:val="clear" w:color="auto" w:fill="FFFFFF" w:themeFill="background1"/>
          </w:tcPr>
          <w:p w14:paraId="172F70DB" w14:textId="3E9A7653"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43</w:t>
            </w:r>
          </w:p>
        </w:tc>
        <w:tc>
          <w:tcPr>
            <w:tcW w:w="0" w:type="auto"/>
            <w:shd w:val="clear" w:color="auto" w:fill="FFFFFF" w:themeFill="background1"/>
          </w:tcPr>
          <w:p w14:paraId="1209442C" w14:textId="74584BD6" w:rsidR="00AA20C3"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0</w:t>
            </w:r>
            <w:r w:rsidR="00AA20C3" w:rsidRPr="005F4AB5">
              <w:rPr>
                <w:sz w:val="20"/>
                <w:szCs w:val="20"/>
              </w:rPr>
              <w:t> </w:t>
            </w:r>
          </w:p>
        </w:tc>
        <w:tc>
          <w:tcPr>
            <w:tcW w:w="0" w:type="auto"/>
            <w:shd w:val="clear" w:color="auto" w:fill="FFFFFF" w:themeFill="background1"/>
            <w:noWrap/>
          </w:tcPr>
          <w:p w14:paraId="088911D2" w14:textId="603DCCA3"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117</w:t>
            </w:r>
          </w:p>
        </w:tc>
      </w:tr>
      <w:tr w:rsidR="00104E16" w:rsidRPr="005F4AB5" w14:paraId="1254AAA3"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E6C95BD" w14:textId="18E4F13E" w:rsidR="00AA20C3" w:rsidRPr="005F4AB5" w:rsidRDefault="00AA20C3" w:rsidP="00AA20C3">
            <w:pPr>
              <w:widowControl/>
              <w:autoSpaceDE/>
              <w:autoSpaceDN/>
              <w:rPr>
                <w:rFonts w:eastAsia="Times New Roman"/>
                <w:sz w:val="20"/>
                <w:szCs w:val="20"/>
                <w:lang w:val="en-GB" w:eastAsia="en-GB"/>
              </w:rPr>
            </w:pPr>
            <w:r w:rsidRPr="005F4AB5">
              <w:rPr>
                <w:rFonts w:eastAsia="Times New Roman"/>
                <w:sz w:val="20"/>
                <w:szCs w:val="20"/>
                <w:lang w:val="en-GB" w:eastAsia="en-GB"/>
              </w:rPr>
              <w:t>A</w:t>
            </w:r>
          </w:p>
        </w:tc>
        <w:tc>
          <w:tcPr>
            <w:tcW w:w="0" w:type="auto"/>
            <w:shd w:val="clear" w:color="auto" w:fill="FFFFFF" w:themeFill="background1"/>
            <w:hideMark/>
          </w:tcPr>
          <w:p w14:paraId="46B92A95" w14:textId="15BA18B1"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Large site: Detailed Planning</w:t>
            </w:r>
          </w:p>
        </w:tc>
        <w:tc>
          <w:tcPr>
            <w:tcW w:w="0" w:type="auto"/>
            <w:shd w:val="clear" w:color="auto" w:fill="FFFFFF" w:themeFill="background1"/>
          </w:tcPr>
          <w:p w14:paraId="48A37570" w14:textId="296F8608"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41DD2553" w14:textId="59A76FCE"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23/00858/JPA</w:t>
            </w:r>
          </w:p>
        </w:tc>
        <w:tc>
          <w:tcPr>
            <w:tcW w:w="0" w:type="auto"/>
            <w:shd w:val="clear" w:color="auto" w:fill="FFFFFF" w:themeFill="background1"/>
          </w:tcPr>
          <w:p w14:paraId="5BEDC09C" w14:textId="4AA7B32C"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Regus office, 31 - 33 Worcester Street</w:t>
            </w:r>
          </w:p>
        </w:tc>
        <w:tc>
          <w:tcPr>
            <w:tcW w:w="0" w:type="auto"/>
            <w:shd w:val="clear" w:color="auto" w:fill="FFFFFF" w:themeFill="background1"/>
          </w:tcPr>
          <w:p w14:paraId="4B030A3F" w14:textId="5019AE33"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Westgate</w:t>
            </w:r>
          </w:p>
        </w:tc>
        <w:tc>
          <w:tcPr>
            <w:tcW w:w="0" w:type="auto"/>
            <w:shd w:val="clear" w:color="auto" w:fill="FFFFFF" w:themeFill="background1"/>
          </w:tcPr>
          <w:p w14:paraId="4EACEA1A" w14:textId="0172C619"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17</w:t>
            </w:r>
          </w:p>
        </w:tc>
        <w:tc>
          <w:tcPr>
            <w:tcW w:w="0" w:type="auto"/>
            <w:shd w:val="clear" w:color="auto" w:fill="FFFFFF" w:themeFill="background1"/>
          </w:tcPr>
          <w:p w14:paraId="5A9DD1C4" w14:textId="18484F3C"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17</w:t>
            </w:r>
          </w:p>
        </w:tc>
        <w:tc>
          <w:tcPr>
            <w:tcW w:w="0" w:type="auto"/>
            <w:shd w:val="clear" w:color="auto" w:fill="FFFFFF" w:themeFill="background1"/>
          </w:tcPr>
          <w:p w14:paraId="738542BD" w14:textId="7A6254B0"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w:t>
            </w:r>
            <w:r w:rsidR="00634A44" w:rsidRPr="005F4AB5">
              <w:rPr>
                <w:sz w:val="20"/>
                <w:szCs w:val="20"/>
              </w:rPr>
              <w:t>0</w:t>
            </w:r>
          </w:p>
        </w:tc>
        <w:tc>
          <w:tcPr>
            <w:tcW w:w="0" w:type="auto"/>
            <w:shd w:val="clear" w:color="auto" w:fill="FFFFFF" w:themeFill="background1"/>
          </w:tcPr>
          <w:p w14:paraId="5A5E3423" w14:textId="2957DF32"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w:t>
            </w:r>
            <w:r w:rsidR="00634A44" w:rsidRPr="005F4AB5">
              <w:rPr>
                <w:sz w:val="20"/>
                <w:szCs w:val="20"/>
              </w:rPr>
              <w:t>0</w:t>
            </w:r>
          </w:p>
        </w:tc>
        <w:tc>
          <w:tcPr>
            <w:tcW w:w="0" w:type="auto"/>
            <w:shd w:val="clear" w:color="auto" w:fill="FFFFFF" w:themeFill="background1"/>
          </w:tcPr>
          <w:p w14:paraId="6B02F6B5" w14:textId="2B1A535D"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w:t>
            </w:r>
            <w:r w:rsidR="00634A44" w:rsidRPr="005F4AB5">
              <w:rPr>
                <w:sz w:val="20"/>
                <w:szCs w:val="20"/>
              </w:rPr>
              <w:t>0</w:t>
            </w:r>
          </w:p>
        </w:tc>
        <w:tc>
          <w:tcPr>
            <w:tcW w:w="0" w:type="auto"/>
            <w:shd w:val="clear" w:color="auto" w:fill="FFFFFF" w:themeFill="background1"/>
          </w:tcPr>
          <w:p w14:paraId="6BBF6F58" w14:textId="2BFCD43A"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w:t>
            </w:r>
            <w:r w:rsidR="00634A44" w:rsidRPr="005F4AB5">
              <w:rPr>
                <w:sz w:val="20"/>
                <w:szCs w:val="20"/>
              </w:rPr>
              <w:t>0</w:t>
            </w:r>
          </w:p>
        </w:tc>
        <w:tc>
          <w:tcPr>
            <w:tcW w:w="0" w:type="auto"/>
            <w:shd w:val="clear" w:color="auto" w:fill="FFFFFF" w:themeFill="background1"/>
            <w:noWrap/>
          </w:tcPr>
          <w:p w14:paraId="2A1F6AE5" w14:textId="64113B16"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17</w:t>
            </w:r>
          </w:p>
        </w:tc>
      </w:tr>
      <w:tr w:rsidR="00104E16" w:rsidRPr="005F4AB5" w14:paraId="1DEC0DB2"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522E1B7" w14:textId="2989B8AF" w:rsidR="00AA20C3" w:rsidRPr="005F4AB5" w:rsidRDefault="00AA20C3" w:rsidP="00AA20C3">
            <w:pPr>
              <w:widowControl/>
              <w:autoSpaceDE/>
              <w:autoSpaceDN/>
              <w:rPr>
                <w:rFonts w:eastAsia="Times New Roman"/>
                <w:sz w:val="20"/>
                <w:szCs w:val="20"/>
                <w:lang w:val="en-GB" w:eastAsia="en-GB"/>
              </w:rPr>
            </w:pPr>
            <w:r w:rsidRPr="005F4AB5">
              <w:rPr>
                <w:rFonts w:eastAsia="Times New Roman"/>
                <w:sz w:val="20"/>
                <w:szCs w:val="20"/>
                <w:lang w:val="en-GB" w:eastAsia="en-GB"/>
              </w:rPr>
              <w:t>A</w:t>
            </w:r>
          </w:p>
        </w:tc>
        <w:tc>
          <w:tcPr>
            <w:tcW w:w="0" w:type="auto"/>
            <w:shd w:val="clear" w:color="auto" w:fill="FFFFFF" w:themeFill="background1"/>
            <w:hideMark/>
          </w:tcPr>
          <w:p w14:paraId="363A13A8" w14:textId="51DE8F72"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Large site: Detailed Planning</w:t>
            </w:r>
          </w:p>
        </w:tc>
        <w:tc>
          <w:tcPr>
            <w:tcW w:w="0" w:type="auto"/>
            <w:shd w:val="clear" w:color="auto" w:fill="FFFFFF" w:themeFill="background1"/>
          </w:tcPr>
          <w:p w14:paraId="6D10D644" w14:textId="2F06A62F"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39F8DE6C" w14:textId="10A3F3BD"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22/00770/FUL</w:t>
            </w:r>
          </w:p>
        </w:tc>
        <w:tc>
          <w:tcPr>
            <w:tcW w:w="0" w:type="auto"/>
            <w:shd w:val="clear" w:color="auto" w:fill="FFFFFF" w:themeFill="background1"/>
          </w:tcPr>
          <w:p w14:paraId="1B79A87B" w14:textId="7A766CEF"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xml:space="preserve">Land at Great Western Road Sidings </w:t>
            </w:r>
          </w:p>
        </w:tc>
        <w:tc>
          <w:tcPr>
            <w:tcW w:w="0" w:type="auto"/>
            <w:shd w:val="clear" w:color="auto" w:fill="FFFFFF" w:themeFill="background1"/>
          </w:tcPr>
          <w:p w14:paraId="254148F5" w14:textId="5FD7C1B5"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Kingsholm &amp; Wotton</w:t>
            </w:r>
          </w:p>
        </w:tc>
        <w:tc>
          <w:tcPr>
            <w:tcW w:w="0" w:type="auto"/>
            <w:shd w:val="clear" w:color="auto" w:fill="FFFFFF" w:themeFill="background1"/>
          </w:tcPr>
          <w:p w14:paraId="5498A36A" w14:textId="2B265C70"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315</w:t>
            </w:r>
          </w:p>
        </w:tc>
        <w:tc>
          <w:tcPr>
            <w:tcW w:w="0" w:type="auto"/>
            <w:shd w:val="clear" w:color="auto" w:fill="FFFFFF" w:themeFill="background1"/>
          </w:tcPr>
          <w:p w14:paraId="7EC1ED20" w14:textId="29147941"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70B2D9BC" w14:textId="21B30ABF"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25</w:t>
            </w:r>
          </w:p>
        </w:tc>
        <w:tc>
          <w:tcPr>
            <w:tcW w:w="0" w:type="auto"/>
            <w:shd w:val="clear" w:color="auto" w:fill="FFFFFF" w:themeFill="background1"/>
          </w:tcPr>
          <w:p w14:paraId="1857FDE8" w14:textId="36C144DE"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49</w:t>
            </w:r>
          </w:p>
        </w:tc>
        <w:tc>
          <w:tcPr>
            <w:tcW w:w="0" w:type="auto"/>
            <w:shd w:val="clear" w:color="auto" w:fill="FFFFFF" w:themeFill="background1"/>
          </w:tcPr>
          <w:p w14:paraId="02B46375" w14:textId="6D9498D7"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49</w:t>
            </w:r>
          </w:p>
        </w:tc>
        <w:tc>
          <w:tcPr>
            <w:tcW w:w="0" w:type="auto"/>
            <w:shd w:val="clear" w:color="auto" w:fill="FFFFFF" w:themeFill="background1"/>
          </w:tcPr>
          <w:p w14:paraId="5D583F7E" w14:textId="31AB84B5"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49</w:t>
            </w:r>
          </w:p>
        </w:tc>
        <w:tc>
          <w:tcPr>
            <w:tcW w:w="0" w:type="auto"/>
            <w:shd w:val="clear" w:color="auto" w:fill="FFFFFF" w:themeFill="background1"/>
            <w:noWrap/>
          </w:tcPr>
          <w:p w14:paraId="1D88A343" w14:textId="2254D8BD"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172</w:t>
            </w:r>
          </w:p>
        </w:tc>
      </w:tr>
      <w:tr w:rsidR="00104E16" w:rsidRPr="005F4AB5" w14:paraId="149EF4AA"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3D61CAA" w14:textId="72D59C1E" w:rsidR="00AA20C3" w:rsidRPr="005F4AB5" w:rsidRDefault="00AA20C3" w:rsidP="00AA20C3">
            <w:pPr>
              <w:widowControl/>
              <w:autoSpaceDE/>
              <w:autoSpaceDN/>
              <w:rPr>
                <w:rFonts w:eastAsia="Times New Roman"/>
                <w:sz w:val="20"/>
                <w:szCs w:val="20"/>
                <w:lang w:val="en-GB" w:eastAsia="en-GB"/>
              </w:rPr>
            </w:pPr>
            <w:r w:rsidRPr="005F4AB5">
              <w:rPr>
                <w:rFonts w:eastAsia="Times New Roman"/>
                <w:sz w:val="20"/>
                <w:szCs w:val="20"/>
                <w:lang w:val="en-GB" w:eastAsia="en-GB"/>
              </w:rPr>
              <w:t>A</w:t>
            </w:r>
          </w:p>
        </w:tc>
        <w:tc>
          <w:tcPr>
            <w:tcW w:w="0" w:type="auto"/>
            <w:shd w:val="clear" w:color="auto" w:fill="FFFFFF" w:themeFill="background1"/>
            <w:hideMark/>
          </w:tcPr>
          <w:p w14:paraId="481665AC" w14:textId="49BF267D"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Large site: Detailed Planning</w:t>
            </w:r>
          </w:p>
        </w:tc>
        <w:tc>
          <w:tcPr>
            <w:tcW w:w="0" w:type="auto"/>
            <w:shd w:val="clear" w:color="auto" w:fill="FFFFFF" w:themeFill="background1"/>
          </w:tcPr>
          <w:p w14:paraId="1E474F01" w14:textId="041E5374"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30AE92D6" w14:textId="7979DD3B"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24/00784/REM</w:t>
            </w:r>
          </w:p>
        </w:tc>
        <w:tc>
          <w:tcPr>
            <w:tcW w:w="0" w:type="auto"/>
            <w:shd w:val="clear" w:color="auto" w:fill="FFFFFF" w:themeFill="background1"/>
          </w:tcPr>
          <w:p w14:paraId="3443DB6F" w14:textId="68ED6061"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87 - 91 Southgate Street (Former RAOB club)</w:t>
            </w:r>
          </w:p>
        </w:tc>
        <w:tc>
          <w:tcPr>
            <w:tcW w:w="0" w:type="auto"/>
            <w:shd w:val="clear" w:color="auto" w:fill="FFFFFF" w:themeFill="background1"/>
          </w:tcPr>
          <w:p w14:paraId="2A45F3F0" w14:textId="4B9E1244"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Westgate</w:t>
            </w:r>
          </w:p>
        </w:tc>
        <w:tc>
          <w:tcPr>
            <w:tcW w:w="0" w:type="auto"/>
            <w:shd w:val="clear" w:color="auto" w:fill="FFFFFF" w:themeFill="background1"/>
          </w:tcPr>
          <w:p w14:paraId="58AC0405" w14:textId="79B506BB"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17</w:t>
            </w:r>
          </w:p>
        </w:tc>
        <w:tc>
          <w:tcPr>
            <w:tcW w:w="0" w:type="auto"/>
            <w:shd w:val="clear" w:color="auto" w:fill="FFFFFF" w:themeFill="background1"/>
          </w:tcPr>
          <w:p w14:paraId="5A2318BE" w14:textId="117C7EE5"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0F792491" w14:textId="6CAFFE60"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17</w:t>
            </w:r>
          </w:p>
        </w:tc>
        <w:tc>
          <w:tcPr>
            <w:tcW w:w="0" w:type="auto"/>
            <w:shd w:val="clear" w:color="auto" w:fill="FFFFFF" w:themeFill="background1"/>
          </w:tcPr>
          <w:p w14:paraId="357C8599" w14:textId="1D668CD0"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w:t>
            </w:r>
            <w:r w:rsidR="00634A44" w:rsidRPr="005F4AB5">
              <w:rPr>
                <w:sz w:val="20"/>
                <w:szCs w:val="20"/>
              </w:rPr>
              <w:t>0</w:t>
            </w:r>
          </w:p>
        </w:tc>
        <w:tc>
          <w:tcPr>
            <w:tcW w:w="0" w:type="auto"/>
            <w:shd w:val="clear" w:color="auto" w:fill="FFFFFF" w:themeFill="background1"/>
          </w:tcPr>
          <w:p w14:paraId="051E1DE5" w14:textId="0234D5F1"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w:t>
            </w:r>
            <w:r w:rsidR="00634A44" w:rsidRPr="005F4AB5">
              <w:rPr>
                <w:sz w:val="20"/>
                <w:szCs w:val="20"/>
              </w:rPr>
              <w:t>0</w:t>
            </w:r>
          </w:p>
        </w:tc>
        <w:tc>
          <w:tcPr>
            <w:tcW w:w="0" w:type="auto"/>
            <w:shd w:val="clear" w:color="auto" w:fill="FFFFFF" w:themeFill="background1"/>
          </w:tcPr>
          <w:p w14:paraId="6F6D8F76" w14:textId="400031E1"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w:t>
            </w:r>
            <w:r w:rsidR="00634A44" w:rsidRPr="005F4AB5">
              <w:rPr>
                <w:sz w:val="20"/>
                <w:szCs w:val="20"/>
              </w:rPr>
              <w:t>0</w:t>
            </w:r>
          </w:p>
        </w:tc>
        <w:tc>
          <w:tcPr>
            <w:tcW w:w="0" w:type="auto"/>
            <w:shd w:val="clear" w:color="auto" w:fill="FFFFFF" w:themeFill="background1"/>
            <w:noWrap/>
          </w:tcPr>
          <w:p w14:paraId="5925A7B0" w14:textId="50AACE1C" w:rsidR="00AA20C3" w:rsidRPr="005F4AB5" w:rsidRDefault="00AA20C3" w:rsidP="00AA20C3">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17</w:t>
            </w:r>
          </w:p>
        </w:tc>
      </w:tr>
      <w:tr w:rsidR="00104E16" w:rsidRPr="005F4AB5" w14:paraId="257DB26B"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11CDC8D" w14:textId="60BE0F02" w:rsidR="00AA20C3" w:rsidRPr="005F4AB5" w:rsidRDefault="00AA20C3" w:rsidP="00AA20C3">
            <w:pPr>
              <w:widowControl/>
              <w:autoSpaceDE/>
              <w:autoSpaceDN/>
              <w:rPr>
                <w:rFonts w:eastAsia="Times New Roman"/>
                <w:sz w:val="20"/>
                <w:szCs w:val="20"/>
                <w:lang w:val="en-GB" w:eastAsia="en-GB"/>
              </w:rPr>
            </w:pPr>
            <w:r w:rsidRPr="005F4AB5">
              <w:rPr>
                <w:rFonts w:eastAsia="Times New Roman"/>
                <w:sz w:val="20"/>
                <w:szCs w:val="20"/>
                <w:lang w:val="en-GB" w:eastAsia="en-GB"/>
              </w:rPr>
              <w:t>A</w:t>
            </w:r>
          </w:p>
        </w:tc>
        <w:tc>
          <w:tcPr>
            <w:tcW w:w="0" w:type="auto"/>
            <w:shd w:val="clear" w:color="auto" w:fill="FFFFFF" w:themeFill="background1"/>
            <w:hideMark/>
          </w:tcPr>
          <w:p w14:paraId="3B45C8F1" w14:textId="5C5284E5"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Large site: Detailed Planning</w:t>
            </w:r>
          </w:p>
        </w:tc>
        <w:tc>
          <w:tcPr>
            <w:tcW w:w="0" w:type="auto"/>
            <w:shd w:val="clear" w:color="auto" w:fill="FFFFFF" w:themeFill="background1"/>
          </w:tcPr>
          <w:p w14:paraId="7F3A9678" w14:textId="61E12FC8"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05AB8065" w14:textId="00A2BC12"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23/00954/FUL</w:t>
            </w:r>
          </w:p>
        </w:tc>
        <w:tc>
          <w:tcPr>
            <w:tcW w:w="0" w:type="auto"/>
            <w:shd w:val="clear" w:color="auto" w:fill="FFFFFF" w:themeFill="background1"/>
          </w:tcPr>
          <w:p w14:paraId="1F694D7A" w14:textId="1FDFA633"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Former Holly House</w:t>
            </w:r>
          </w:p>
        </w:tc>
        <w:tc>
          <w:tcPr>
            <w:tcW w:w="0" w:type="auto"/>
            <w:shd w:val="clear" w:color="auto" w:fill="FFFFFF" w:themeFill="background1"/>
          </w:tcPr>
          <w:p w14:paraId="25CE104C" w14:textId="775A26FE"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Coney Hill</w:t>
            </w:r>
          </w:p>
        </w:tc>
        <w:tc>
          <w:tcPr>
            <w:tcW w:w="0" w:type="auto"/>
            <w:shd w:val="clear" w:color="auto" w:fill="FFFFFF" w:themeFill="background1"/>
          </w:tcPr>
          <w:p w14:paraId="6D53F851" w14:textId="30D03BAB"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35</w:t>
            </w:r>
          </w:p>
        </w:tc>
        <w:tc>
          <w:tcPr>
            <w:tcW w:w="0" w:type="auto"/>
            <w:shd w:val="clear" w:color="auto" w:fill="FFFFFF" w:themeFill="background1"/>
          </w:tcPr>
          <w:p w14:paraId="496A2AEB" w14:textId="701CC738"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08FD5E01" w14:textId="36BEA389"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25</w:t>
            </w:r>
          </w:p>
        </w:tc>
        <w:tc>
          <w:tcPr>
            <w:tcW w:w="0" w:type="auto"/>
            <w:shd w:val="clear" w:color="auto" w:fill="FFFFFF" w:themeFill="background1"/>
          </w:tcPr>
          <w:p w14:paraId="7B0BFDAA" w14:textId="3921FB4B"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10</w:t>
            </w:r>
          </w:p>
        </w:tc>
        <w:tc>
          <w:tcPr>
            <w:tcW w:w="0" w:type="auto"/>
            <w:shd w:val="clear" w:color="auto" w:fill="FFFFFF" w:themeFill="background1"/>
          </w:tcPr>
          <w:p w14:paraId="160F5088" w14:textId="62864879"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w:t>
            </w:r>
            <w:r w:rsidR="00634A44" w:rsidRPr="005F4AB5">
              <w:rPr>
                <w:sz w:val="20"/>
                <w:szCs w:val="20"/>
              </w:rPr>
              <w:t>0</w:t>
            </w:r>
          </w:p>
        </w:tc>
        <w:tc>
          <w:tcPr>
            <w:tcW w:w="0" w:type="auto"/>
            <w:shd w:val="clear" w:color="auto" w:fill="FFFFFF" w:themeFill="background1"/>
          </w:tcPr>
          <w:p w14:paraId="649128ED" w14:textId="54974297"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w:t>
            </w:r>
            <w:r w:rsidR="00634A44" w:rsidRPr="005F4AB5">
              <w:rPr>
                <w:sz w:val="20"/>
                <w:szCs w:val="20"/>
              </w:rPr>
              <w:t>0</w:t>
            </w:r>
          </w:p>
        </w:tc>
        <w:tc>
          <w:tcPr>
            <w:tcW w:w="0" w:type="auto"/>
            <w:shd w:val="clear" w:color="auto" w:fill="FFFFFF" w:themeFill="background1"/>
            <w:noWrap/>
          </w:tcPr>
          <w:p w14:paraId="2FDBFCCB" w14:textId="1ADF1743" w:rsidR="00AA20C3" w:rsidRPr="005F4AB5" w:rsidRDefault="00AA20C3" w:rsidP="00AA20C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35</w:t>
            </w:r>
          </w:p>
        </w:tc>
      </w:tr>
      <w:tr w:rsidR="00104E16" w:rsidRPr="005F4AB5" w14:paraId="2151F7FA"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2326EF6" w14:textId="3012725C" w:rsidR="00634A44" w:rsidRPr="005F4AB5" w:rsidRDefault="00634A44" w:rsidP="00634A44">
            <w:pPr>
              <w:widowControl/>
              <w:autoSpaceDE/>
              <w:autoSpaceDN/>
              <w:rPr>
                <w:rFonts w:eastAsia="Times New Roman"/>
                <w:sz w:val="20"/>
                <w:szCs w:val="20"/>
                <w:lang w:val="en-GB" w:eastAsia="en-GB"/>
              </w:rPr>
            </w:pPr>
            <w:r w:rsidRPr="005F4AB5">
              <w:rPr>
                <w:rFonts w:eastAsia="Times New Roman"/>
                <w:sz w:val="20"/>
                <w:szCs w:val="20"/>
                <w:lang w:val="en-GB" w:eastAsia="en-GB"/>
              </w:rPr>
              <w:t>A</w:t>
            </w:r>
          </w:p>
        </w:tc>
        <w:tc>
          <w:tcPr>
            <w:tcW w:w="0" w:type="auto"/>
            <w:shd w:val="clear" w:color="auto" w:fill="FFFFFF" w:themeFill="background1"/>
            <w:hideMark/>
          </w:tcPr>
          <w:p w14:paraId="43D7C722" w14:textId="515C835E"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Large site: Detailed Planning</w:t>
            </w:r>
          </w:p>
        </w:tc>
        <w:tc>
          <w:tcPr>
            <w:tcW w:w="0" w:type="auto"/>
            <w:shd w:val="clear" w:color="auto" w:fill="FFFFFF" w:themeFill="background1"/>
          </w:tcPr>
          <w:p w14:paraId="47FF2F2E" w14:textId="5E4E0F66"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23C1CAA9" w14:textId="676BD932"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15/01190/OUT &amp; 17/00224/REM</w:t>
            </w:r>
          </w:p>
        </w:tc>
        <w:tc>
          <w:tcPr>
            <w:tcW w:w="0" w:type="auto"/>
            <w:shd w:val="clear" w:color="auto" w:fill="FFFFFF" w:themeFill="background1"/>
          </w:tcPr>
          <w:p w14:paraId="5C886BCB" w14:textId="52735DA3"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xml:space="preserve">Business School &amp; Student Halls  - University - Oxstalls Lane </w:t>
            </w:r>
          </w:p>
        </w:tc>
        <w:tc>
          <w:tcPr>
            <w:tcW w:w="0" w:type="auto"/>
            <w:shd w:val="clear" w:color="auto" w:fill="FFFFFF" w:themeFill="background1"/>
          </w:tcPr>
          <w:p w14:paraId="789C1FA3" w14:textId="17BFF383"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Longlevens</w:t>
            </w:r>
          </w:p>
        </w:tc>
        <w:tc>
          <w:tcPr>
            <w:tcW w:w="0" w:type="auto"/>
            <w:shd w:val="clear" w:color="auto" w:fill="FFFFFF" w:themeFill="background1"/>
          </w:tcPr>
          <w:p w14:paraId="1876A8B4" w14:textId="377BA87E"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80</w:t>
            </w:r>
          </w:p>
        </w:tc>
        <w:tc>
          <w:tcPr>
            <w:tcW w:w="0" w:type="auto"/>
            <w:shd w:val="clear" w:color="auto" w:fill="FFFFFF" w:themeFill="background1"/>
          </w:tcPr>
          <w:p w14:paraId="1B32B7DE" w14:textId="19F4FB80"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0 </w:t>
            </w:r>
          </w:p>
        </w:tc>
        <w:tc>
          <w:tcPr>
            <w:tcW w:w="0" w:type="auto"/>
            <w:shd w:val="clear" w:color="auto" w:fill="FFFFFF" w:themeFill="background1"/>
          </w:tcPr>
          <w:p w14:paraId="03C47527" w14:textId="7FF4B032"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22CF00CF" w14:textId="7A117058"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7A5EBC0B" w14:textId="0A0FC6ED"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1F60F0B4" w14:textId="1A4F2C52"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noWrap/>
          </w:tcPr>
          <w:p w14:paraId="64FEE2DC" w14:textId="40EACE7E"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r>
      <w:tr w:rsidR="00104E16" w:rsidRPr="005F4AB5" w14:paraId="0F88850A"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0A2F46E" w14:textId="03876A0C" w:rsidR="00634A44" w:rsidRPr="005F4AB5" w:rsidRDefault="00634A44" w:rsidP="00634A44">
            <w:pPr>
              <w:widowControl/>
              <w:autoSpaceDE/>
              <w:autoSpaceDN/>
              <w:rPr>
                <w:rFonts w:eastAsia="Times New Roman"/>
                <w:sz w:val="20"/>
                <w:szCs w:val="20"/>
                <w:lang w:val="en-GB" w:eastAsia="en-GB"/>
              </w:rPr>
            </w:pPr>
            <w:r w:rsidRPr="005F4AB5">
              <w:rPr>
                <w:rFonts w:eastAsia="Times New Roman"/>
                <w:sz w:val="20"/>
                <w:szCs w:val="20"/>
                <w:lang w:val="en-GB" w:eastAsia="en-GB"/>
              </w:rPr>
              <w:lastRenderedPageBreak/>
              <w:t>A</w:t>
            </w:r>
          </w:p>
        </w:tc>
        <w:tc>
          <w:tcPr>
            <w:tcW w:w="0" w:type="auto"/>
            <w:shd w:val="clear" w:color="auto" w:fill="FFFFFF" w:themeFill="background1"/>
            <w:hideMark/>
          </w:tcPr>
          <w:p w14:paraId="66880C28" w14:textId="6A3B67C9"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Large site: Detailed Planning</w:t>
            </w:r>
          </w:p>
        </w:tc>
        <w:tc>
          <w:tcPr>
            <w:tcW w:w="0" w:type="auto"/>
            <w:shd w:val="clear" w:color="auto" w:fill="FFFFFF" w:themeFill="background1"/>
          </w:tcPr>
          <w:p w14:paraId="0C473F77" w14:textId="77EF7917"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245A5F0C" w14:textId="2F783C5D"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xml:space="preserve">17/00659/FUL </w:t>
            </w:r>
          </w:p>
        </w:tc>
        <w:tc>
          <w:tcPr>
            <w:tcW w:w="0" w:type="auto"/>
            <w:shd w:val="clear" w:color="auto" w:fill="FFFFFF" w:themeFill="background1"/>
          </w:tcPr>
          <w:p w14:paraId="39FD0648" w14:textId="0B9AEE28"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xml:space="preserve">Former Gloucester Prison, Barrack Square </w:t>
            </w:r>
          </w:p>
        </w:tc>
        <w:tc>
          <w:tcPr>
            <w:tcW w:w="0" w:type="auto"/>
            <w:shd w:val="clear" w:color="auto" w:fill="FFFFFF" w:themeFill="background1"/>
          </w:tcPr>
          <w:p w14:paraId="3AE6D777" w14:textId="39ED9F83"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Westgate</w:t>
            </w:r>
          </w:p>
        </w:tc>
        <w:tc>
          <w:tcPr>
            <w:tcW w:w="0" w:type="auto"/>
            <w:shd w:val="clear" w:color="auto" w:fill="FFFFFF" w:themeFill="background1"/>
          </w:tcPr>
          <w:p w14:paraId="44E4CBDE" w14:textId="1DFBABDD"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202</w:t>
            </w:r>
          </w:p>
        </w:tc>
        <w:tc>
          <w:tcPr>
            <w:tcW w:w="0" w:type="auto"/>
            <w:shd w:val="clear" w:color="auto" w:fill="FFFFFF" w:themeFill="background1"/>
          </w:tcPr>
          <w:p w14:paraId="186DE31C" w14:textId="60513CB5"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4AAE6C62" w14:textId="44BACEF5"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2080C2D2" w14:textId="3DD2C454"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06BEB641" w14:textId="4927AD8F"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25</w:t>
            </w:r>
          </w:p>
        </w:tc>
        <w:tc>
          <w:tcPr>
            <w:tcW w:w="0" w:type="auto"/>
            <w:shd w:val="clear" w:color="auto" w:fill="FFFFFF" w:themeFill="background1"/>
          </w:tcPr>
          <w:p w14:paraId="5D62856C" w14:textId="0596A520"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50</w:t>
            </w:r>
          </w:p>
        </w:tc>
        <w:tc>
          <w:tcPr>
            <w:tcW w:w="0" w:type="auto"/>
            <w:shd w:val="clear" w:color="auto" w:fill="FFFFFF" w:themeFill="background1"/>
            <w:noWrap/>
          </w:tcPr>
          <w:p w14:paraId="27A567B6" w14:textId="3ED93570"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75</w:t>
            </w:r>
          </w:p>
        </w:tc>
      </w:tr>
      <w:tr w:rsidR="00104E16" w:rsidRPr="005F4AB5" w14:paraId="668023EE"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D0494AF" w14:textId="1DFE3ABC" w:rsidR="00634A44" w:rsidRPr="005F4AB5" w:rsidRDefault="00634A44" w:rsidP="00634A44">
            <w:pPr>
              <w:widowControl/>
              <w:autoSpaceDE/>
              <w:autoSpaceDN/>
              <w:rPr>
                <w:rFonts w:eastAsia="Times New Roman"/>
                <w:sz w:val="20"/>
                <w:szCs w:val="20"/>
                <w:lang w:val="en-GB" w:eastAsia="en-GB"/>
              </w:rPr>
            </w:pPr>
            <w:r w:rsidRPr="005F4AB5">
              <w:rPr>
                <w:rFonts w:eastAsia="Times New Roman"/>
                <w:sz w:val="20"/>
                <w:szCs w:val="20"/>
                <w:lang w:val="en-GB" w:eastAsia="en-GB"/>
              </w:rPr>
              <w:t>A</w:t>
            </w:r>
          </w:p>
        </w:tc>
        <w:tc>
          <w:tcPr>
            <w:tcW w:w="0" w:type="auto"/>
            <w:shd w:val="clear" w:color="auto" w:fill="FFFFFF" w:themeFill="background1"/>
          </w:tcPr>
          <w:p w14:paraId="53C8B399" w14:textId="105C8A25"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Large site: Detailed Planning</w:t>
            </w:r>
          </w:p>
        </w:tc>
        <w:tc>
          <w:tcPr>
            <w:tcW w:w="0" w:type="auto"/>
            <w:shd w:val="clear" w:color="auto" w:fill="FFFFFF" w:themeFill="background1"/>
          </w:tcPr>
          <w:p w14:paraId="559ECCFF" w14:textId="46B4475D"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482B395D" w14:textId="32B09686"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18/01141/REM</w:t>
            </w:r>
          </w:p>
        </w:tc>
        <w:tc>
          <w:tcPr>
            <w:tcW w:w="0" w:type="auto"/>
            <w:shd w:val="clear" w:color="auto" w:fill="FFFFFF" w:themeFill="background1"/>
          </w:tcPr>
          <w:p w14:paraId="3D447FC0" w14:textId="0BB606FD"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xml:space="preserve">‘Big Winney’, land at Winneycroft </w:t>
            </w:r>
          </w:p>
        </w:tc>
        <w:tc>
          <w:tcPr>
            <w:tcW w:w="0" w:type="auto"/>
            <w:shd w:val="clear" w:color="auto" w:fill="FFFFFF" w:themeFill="background1"/>
          </w:tcPr>
          <w:p w14:paraId="07E5AFDC" w14:textId="6C0D43E5"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Matson &amp; Robinswood</w:t>
            </w:r>
          </w:p>
        </w:tc>
        <w:tc>
          <w:tcPr>
            <w:tcW w:w="0" w:type="auto"/>
            <w:shd w:val="clear" w:color="auto" w:fill="FFFFFF" w:themeFill="background1"/>
          </w:tcPr>
          <w:p w14:paraId="11984CDD" w14:textId="5AFCF8B4"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420</w:t>
            </w:r>
          </w:p>
        </w:tc>
        <w:tc>
          <w:tcPr>
            <w:tcW w:w="0" w:type="auto"/>
            <w:shd w:val="clear" w:color="auto" w:fill="FFFFFF" w:themeFill="background1"/>
          </w:tcPr>
          <w:p w14:paraId="1AC967C5" w14:textId="2792DF4C"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49</w:t>
            </w:r>
          </w:p>
        </w:tc>
        <w:tc>
          <w:tcPr>
            <w:tcW w:w="0" w:type="auto"/>
            <w:shd w:val="clear" w:color="auto" w:fill="FFFFFF" w:themeFill="background1"/>
          </w:tcPr>
          <w:p w14:paraId="3B9EADDC" w14:textId="4DA261E6"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49</w:t>
            </w:r>
          </w:p>
        </w:tc>
        <w:tc>
          <w:tcPr>
            <w:tcW w:w="0" w:type="auto"/>
            <w:shd w:val="clear" w:color="auto" w:fill="FFFFFF" w:themeFill="background1"/>
          </w:tcPr>
          <w:p w14:paraId="51809ABA" w14:textId="59C29957"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49</w:t>
            </w:r>
          </w:p>
        </w:tc>
        <w:tc>
          <w:tcPr>
            <w:tcW w:w="0" w:type="auto"/>
            <w:shd w:val="clear" w:color="auto" w:fill="FFFFFF" w:themeFill="background1"/>
          </w:tcPr>
          <w:p w14:paraId="4DBCA830" w14:textId="123A1CD2"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49</w:t>
            </w:r>
          </w:p>
        </w:tc>
        <w:tc>
          <w:tcPr>
            <w:tcW w:w="0" w:type="auto"/>
            <w:shd w:val="clear" w:color="auto" w:fill="FFFFFF" w:themeFill="background1"/>
          </w:tcPr>
          <w:p w14:paraId="598D1260" w14:textId="7F496382"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69</w:t>
            </w:r>
          </w:p>
        </w:tc>
        <w:tc>
          <w:tcPr>
            <w:tcW w:w="0" w:type="auto"/>
            <w:shd w:val="clear" w:color="auto" w:fill="FFFFFF" w:themeFill="background1"/>
            <w:noWrap/>
          </w:tcPr>
          <w:p w14:paraId="1406DE05" w14:textId="58AB5BC7"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265</w:t>
            </w:r>
          </w:p>
        </w:tc>
      </w:tr>
      <w:tr w:rsidR="00104E16" w:rsidRPr="005F4AB5" w14:paraId="14447BA0"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36494E6" w14:textId="0053CAD5" w:rsidR="00634A44" w:rsidRPr="005F4AB5" w:rsidRDefault="00634A44" w:rsidP="00634A44">
            <w:pPr>
              <w:widowControl/>
              <w:autoSpaceDE/>
              <w:autoSpaceDN/>
              <w:rPr>
                <w:rFonts w:eastAsia="Times New Roman"/>
                <w:sz w:val="20"/>
                <w:szCs w:val="20"/>
                <w:lang w:val="en-GB" w:eastAsia="en-GB"/>
              </w:rPr>
            </w:pPr>
            <w:r w:rsidRPr="005F4AB5">
              <w:rPr>
                <w:rFonts w:eastAsia="Times New Roman"/>
                <w:sz w:val="20"/>
                <w:szCs w:val="20"/>
                <w:lang w:val="en-GB" w:eastAsia="en-GB"/>
              </w:rPr>
              <w:t>A</w:t>
            </w:r>
          </w:p>
        </w:tc>
        <w:tc>
          <w:tcPr>
            <w:tcW w:w="0" w:type="auto"/>
            <w:shd w:val="clear" w:color="auto" w:fill="FFFFFF" w:themeFill="background1"/>
          </w:tcPr>
          <w:p w14:paraId="44B0DAE0" w14:textId="6A89A859"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Large site: Detailed Planning</w:t>
            </w:r>
          </w:p>
        </w:tc>
        <w:tc>
          <w:tcPr>
            <w:tcW w:w="0" w:type="auto"/>
            <w:shd w:val="clear" w:color="auto" w:fill="FFFFFF" w:themeFill="background1"/>
          </w:tcPr>
          <w:p w14:paraId="4FC99A5E" w14:textId="76F054DA"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0433DD92" w14:textId="3B8B6B3F"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xml:space="preserve">19/00672/FUL </w:t>
            </w:r>
          </w:p>
        </w:tc>
        <w:tc>
          <w:tcPr>
            <w:tcW w:w="0" w:type="auto"/>
            <w:shd w:val="clear" w:color="auto" w:fill="FFFFFF" w:themeFill="background1"/>
          </w:tcPr>
          <w:p w14:paraId="54C7E036" w14:textId="490E95D8"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Manor Gardens, Barnwood Road</w:t>
            </w:r>
          </w:p>
        </w:tc>
        <w:tc>
          <w:tcPr>
            <w:tcW w:w="0" w:type="auto"/>
            <w:shd w:val="clear" w:color="auto" w:fill="FFFFFF" w:themeFill="background1"/>
          </w:tcPr>
          <w:p w14:paraId="12F15DF9" w14:textId="53F2AA31"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Barnwood</w:t>
            </w:r>
          </w:p>
        </w:tc>
        <w:tc>
          <w:tcPr>
            <w:tcW w:w="0" w:type="auto"/>
            <w:shd w:val="clear" w:color="auto" w:fill="FFFFFF" w:themeFill="background1"/>
          </w:tcPr>
          <w:p w14:paraId="50AED194" w14:textId="35DDECCE"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23</w:t>
            </w:r>
          </w:p>
        </w:tc>
        <w:tc>
          <w:tcPr>
            <w:tcW w:w="0" w:type="auto"/>
            <w:shd w:val="clear" w:color="auto" w:fill="FFFFFF" w:themeFill="background1"/>
          </w:tcPr>
          <w:p w14:paraId="5DAAF67A" w14:textId="488D1D88"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02BE8CC0" w14:textId="699286AD"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23</w:t>
            </w:r>
          </w:p>
        </w:tc>
        <w:tc>
          <w:tcPr>
            <w:tcW w:w="0" w:type="auto"/>
            <w:shd w:val="clear" w:color="auto" w:fill="FFFFFF" w:themeFill="background1"/>
          </w:tcPr>
          <w:p w14:paraId="632A60D6" w14:textId="49E285A1"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6BD1EFB2" w14:textId="122D451D"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6FE57D77" w14:textId="6DC111EB"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noWrap/>
          </w:tcPr>
          <w:p w14:paraId="520B3D88" w14:textId="592F26D8"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23</w:t>
            </w:r>
          </w:p>
        </w:tc>
      </w:tr>
      <w:tr w:rsidR="00104E16" w:rsidRPr="005F4AB5" w14:paraId="34D2EE81"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2476E36" w14:textId="3B13B889" w:rsidR="00634A44" w:rsidRPr="005F4AB5" w:rsidRDefault="00634A44" w:rsidP="00634A44">
            <w:pPr>
              <w:widowControl/>
              <w:autoSpaceDE/>
              <w:autoSpaceDN/>
              <w:rPr>
                <w:rFonts w:eastAsia="Times New Roman"/>
                <w:sz w:val="20"/>
                <w:szCs w:val="20"/>
                <w:lang w:val="en-GB" w:eastAsia="en-GB"/>
              </w:rPr>
            </w:pPr>
            <w:r w:rsidRPr="005F4AB5">
              <w:rPr>
                <w:rFonts w:eastAsia="Times New Roman"/>
                <w:sz w:val="20"/>
                <w:szCs w:val="20"/>
                <w:lang w:val="en-GB" w:eastAsia="en-GB"/>
              </w:rPr>
              <w:t>A</w:t>
            </w:r>
          </w:p>
        </w:tc>
        <w:tc>
          <w:tcPr>
            <w:tcW w:w="0" w:type="auto"/>
            <w:shd w:val="clear" w:color="auto" w:fill="FFFFFF" w:themeFill="background1"/>
          </w:tcPr>
          <w:p w14:paraId="295BD33A" w14:textId="21630559"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Large site: Detailed Planning</w:t>
            </w:r>
          </w:p>
        </w:tc>
        <w:tc>
          <w:tcPr>
            <w:tcW w:w="0" w:type="auto"/>
            <w:shd w:val="clear" w:color="auto" w:fill="FFFFFF" w:themeFill="background1"/>
          </w:tcPr>
          <w:p w14:paraId="42C32818" w14:textId="62A84C58"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53E5FA42" w14:textId="6E9E1E2F"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18/01228/OUT / 22/00355/REM</w:t>
            </w:r>
          </w:p>
        </w:tc>
        <w:tc>
          <w:tcPr>
            <w:tcW w:w="0" w:type="auto"/>
            <w:shd w:val="clear" w:color="auto" w:fill="FFFFFF" w:themeFill="background1"/>
          </w:tcPr>
          <w:p w14:paraId="38BE9224" w14:textId="4F976273"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Land at Naas Lane</w:t>
            </w:r>
          </w:p>
        </w:tc>
        <w:tc>
          <w:tcPr>
            <w:tcW w:w="0" w:type="auto"/>
            <w:shd w:val="clear" w:color="auto" w:fill="FFFFFF" w:themeFill="background1"/>
          </w:tcPr>
          <w:p w14:paraId="01F93298" w14:textId="1F77F956"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Quedgeley Fieldcourt</w:t>
            </w:r>
          </w:p>
        </w:tc>
        <w:tc>
          <w:tcPr>
            <w:tcW w:w="0" w:type="auto"/>
            <w:shd w:val="clear" w:color="auto" w:fill="FFFFFF" w:themeFill="background1"/>
          </w:tcPr>
          <w:p w14:paraId="50169795" w14:textId="1DD26564"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97</w:t>
            </w:r>
          </w:p>
        </w:tc>
        <w:tc>
          <w:tcPr>
            <w:tcW w:w="0" w:type="auto"/>
            <w:shd w:val="clear" w:color="auto" w:fill="FFFFFF" w:themeFill="background1"/>
          </w:tcPr>
          <w:p w14:paraId="0DC208F9" w14:textId="68B2C9B6"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43</w:t>
            </w:r>
          </w:p>
        </w:tc>
        <w:tc>
          <w:tcPr>
            <w:tcW w:w="0" w:type="auto"/>
            <w:shd w:val="clear" w:color="auto" w:fill="FFFFFF" w:themeFill="background1"/>
          </w:tcPr>
          <w:p w14:paraId="67DEFAC4" w14:textId="22D960E7"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704727E3" w14:textId="08675391"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74D224E0" w14:textId="7EFD8663"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3CDD977E" w14:textId="5F198451"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noWrap/>
          </w:tcPr>
          <w:p w14:paraId="1C0988D4" w14:textId="61AF01F0"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43</w:t>
            </w:r>
          </w:p>
        </w:tc>
      </w:tr>
      <w:tr w:rsidR="00104E16" w:rsidRPr="005F4AB5" w14:paraId="6E0F143D"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B149B44" w14:textId="3F589848" w:rsidR="00634A44" w:rsidRPr="005F4AB5" w:rsidRDefault="00634A44" w:rsidP="00634A44">
            <w:pPr>
              <w:widowControl/>
              <w:autoSpaceDE/>
              <w:autoSpaceDN/>
              <w:rPr>
                <w:rFonts w:eastAsia="Times New Roman"/>
                <w:sz w:val="20"/>
                <w:szCs w:val="20"/>
                <w:lang w:val="en-GB" w:eastAsia="en-GB"/>
              </w:rPr>
            </w:pPr>
            <w:r w:rsidRPr="005F4AB5">
              <w:rPr>
                <w:rFonts w:eastAsia="Times New Roman"/>
                <w:sz w:val="20"/>
                <w:szCs w:val="20"/>
                <w:lang w:val="en-GB" w:eastAsia="en-GB"/>
              </w:rPr>
              <w:t>A</w:t>
            </w:r>
          </w:p>
        </w:tc>
        <w:tc>
          <w:tcPr>
            <w:tcW w:w="0" w:type="auto"/>
            <w:shd w:val="clear" w:color="auto" w:fill="FFFFFF" w:themeFill="background1"/>
          </w:tcPr>
          <w:p w14:paraId="00952F5D" w14:textId="7EA93B00"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Large site: Detailed Planning</w:t>
            </w:r>
          </w:p>
        </w:tc>
        <w:tc>
          <w:tcPr>
            <w:tcW w:w="0" w:type="auto"/>
            <w:shd w:val="clear" w:color="auto" w:fill="FFFFFF" w:themeFill="background1"/>
          </w:tcPr>
          <w:p w14:paraId="7646A3FA" w14:textId="432547B1"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0F0D9992" w14:textId="42F8EA29"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22/00553/REM</w:t>
            </w:r>
          </w:p>
        </w:tc>
        <w:tc>
          <w:tcPr>
            <w:tcW w:w="0" w:type="auto"/>
            <w:shd w:val="clear" w:color="auto" w:fill="FFFFFF" w:themeFill="background1"/>
          </w:tcPr>
          <w:p w14:paraId="17C93CB3" w14:textId="7DA8AD97"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Land North of Rudloe Drive</w:t>
            </w:r>
          </w:p>
        </w:tc>
        <w:tc>
          <w:tcPr>
            <w:tcW w:w="0" w:type="auto"/>
            <w:shd w:val="clear" w:color="auto" w:fill="FFFFFF" w:themeFill="background1"/>
          </w:tcPr>
          <w:p w14:paraId="1E2A5D85" w14:textId="58A5226C"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Kingsway</w:t>
            </w:r>
          </w:p>
        </w:tc>
        <w:tc>
          <w:tcPr>
            <w:tcW w:w="0" w:type="auto"/>
            <w:shd w:val="clear" w:color="auto" w:fill="FFFFFF" w:themeFill="background1"/>
          </w:tcPr>
          <w:p w14:paraId="5A527D86" w14:textId="2B887CE7"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150</w:t>
            </w:r>
          </w:p>
        </w:tc>
        <w:tc>
          <w:tcPr>
            <w:tcW w:w="0" w:type="auto"/>
            <w:shd w:val="clear" w:color="auto" w:fill="FFFFFF" w:themeFill="background1"/>
          </w:tcPr>
          <w:p w14:paraId="29A65F17" w14:textId="2DF14D1F"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35</w:t>
            </w:r>
          </w:p>
        </w:tc>
        <w:tc>
          <w:tcPr>
            <w:tcW w:w="0" w:type="auto"/>
            <w:shd w:val="clear" w:color="auto" w:fill="FFFFFF" w:themeFill="background1"/>
          </w:tcPr>
          <w:p w14:paraId="6E9AADEC" w14:textId="70F5F71B"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3F0F3C42" w14:textId="2715C54A"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46877DD4" w14:textId="093E72BD"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56F2FD4A" w14:textId="3BC481BF"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noWrap/>
          </w:tcPr>
          <w:p w14:paraId="42EBE077" w14:textId="600B9EA5"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35</w:t>
            </w:r>
          </w:p>
        </w:tc>
      </w:tr>
      <w:tr w:rsidR="00104E16" w:rsidRPr="005F4AB5" w14:paraId="49B48097"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3884E49" w14:textId="082D2BCC" w:rsidR="00634A44" w:rsidRPr="005F4AB5" w:rsidRDefault="00634A44" w:rsidP="00634A44">
            <w:pPr>
              <w:widowControl/>
              <w:autoSpaceDE/>
              <w:autoSpaceDN/>
              <w:rPr>
                <w:rFonts w:eastAsia="Times New Roman"/>
                <w:sz w:val="20"/>
                <w:szCs w:val="20"/>
                <w:lang w:val="en-GB" w:eastAsia="en-GB"/>
              </w:rPr>
            </w:pPr>
            <w:r w:rsidRPr="005F4AB5">
              <w:rPr>
                <w:rFonts w:eastAsia="Times New Roman"/>
                <w:sz w:val="20"/>
                <w:szCs w:val="20"/>
                <w:lang w:val="en-GB" w:eastAsia="en-GB"/>
              </w:rPr>
              <w:t>A</w:t>
            </w:r>
          </w:p>
        </w:tc>
        <w:tc>
          <w:tcPr>
            <w:tcW w:w="0" w:type="auto"/>
            <w:shd w:val="clear" w:color="auto" w:fill="FFFFFF" w:themeFill="background1"/>
          </w:tcPr>
          <w:p w14:paraId="2F30368A" w14:textId="3DAE52EB"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Large site: Detailed Planning</w:t>
            </w:r>
          </w:p>
        </w:tc>
        <w:tc>
          <w:tcPr>
            <w:tcW w:w="0" w:type="auto"/>
            <w:shd w:val="clear" w:color="auto" w:fill="FFFFFF" w:themeFill="background1"/>
          </w:tcPr>
          <w:p w14:paraId="67A914D0" w14:textId="69F87520"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5C9050BE" w14:textId="623BEEC0"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22/01041/FUL</w:t>
            </w:r>
          </w:p>
        </w:tc>
        <w:tc>
          <w:tcPr>
            <w:tcW w:w="0" w:type="auto"/>
            <w:shd w:val="clear" w:color="auto" w:fill="FFFFFF" w:themeFill="background1"/>
          </w:tcPr>
          <w:p w14:paraId="2776796B" w14:textId="4B187590"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xml:space="preserve">Old Hempsted Fuel Depot, Hempsted Lane </w:t>
            </w:r>
          </w:p>
        </w:tc>
        <w:tc>
          <w:tcPr>
            <w:tcW w:w="0" w:type="auto"/>
            <w:shd w:val="clear" w:color="auto" w:fill="FFFFFF" w:themeFill="background1"/>
          </w:tcPr>
          <w:p w14:paraId="071CC309" w14:textId="52265C54"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Westgate</w:t>
            </w:r>
          </w:p>
        </w:tc>
        <w:tc>
          <w:tcPr>
            <w:tcW w:w="0" w:type="auto"/>
            <w:shd w:val="clear" w:color="auto" w:fill="FFFFFF" w:themeFill="background1"/>
          </w:tcPr>
          <w:p w14:paraId="7572D67B" w14:textId="2E2C8003"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70</w:t>
            </w:r>
          </w:p>
        </w:tc>
        <w:tc>
          <w:tcPr>
            <w:tcW w:w="0" w:type="auto"/>
            <w:shd w:val="clear" w:color="auto" w:fill="FFFFFF" w:themeFill="background1"/>
          </w:tcPr>
          <w:p w14:paraId="519B1EF3" w14:textId="1D28575C"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28</w:t>
            </w:r>
          </w:p>
        </w:tc>
        <w:tc>
          <w:tcPr>
            <w:tcW w:w="0" w:type="auto"/>
            <w:shd w:val="clear" w:color="auto" w:fill="FFFFFF" w:themeFill="background1"/>
          </w:tcPr>
          <w:p w14:paraId="46FF2A44" w14:textId="7CB241FE"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46055250" w14:textId="5D9AA3A9"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55339835" w14:textId="108563F0"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37631E98" w14:textId="6857A3FC"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noWrap/>
          </w:tcPr>
          <w:p w14:paraId="709971ED" w14:textId="69F264A1"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28</w:t>
            </w:r>
          </w:p>
        </w:tc>
      </w:tr>
      <w:tr w:rsidR="00104E16" w:rsidRPr="005F4AB5" w14:paraId="26BB9601"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CB6057C" w14:textId="01E6D671" w:rsidR="00634A44" w:rsidRPr="005F4AB5" w:rsidRDefault="00634A44" w:rsidP="00634A44">
            <w:pPr>
              <w:widowControl/>
              <w:autoSpaceDE/>
              <w:autoSpaceDN/>
              <w:rPr>
                <w:rFonts w:eastAsia="Times New Roman"/>
                <w:sz w:val="20"/>
                <w:szCs w:val="20"/>
                <w:lang w:val="en-GB" w:eastAsia="en-GB"/>
              </w:rPr>
            </w:pPr>
            <w:r w:rsidRPr="005F4AB5">
              <w:rPr>
                <w:rFonts w:eastAsia="Times New Roman"/>
                <w:sz w:val="20"/>
                <w:szCs w:val="20"/>
                <w:lang w:val="en-GB" w:eastAsia="en-GB"/>
              </w:rPr>
              <w:t>A</w:t>
            </w:r>
          </w:p>
        </w:tc>
        <w:tc>
          <w:tcPr>
            <w:tcW w:w="0" w:type="auto"/>
            <w:shd w:val="clear" w:color="auto" w:fill="FFFFFF" w:themeFill="background1"/>
          </w:tcPr>
          <w:p w14:paraId="5DFD3DB6" w14:textId="6FC825BB"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Large site: Detailed Planning</w:t>
            </w:r>
          </w:p>
        </w:tc>
        <w:tc>
          <w:tcPr>
            <w:tcW w:w="0" w:type="auto"/>
            <w:shd w:val="clear" w:color="auto" w:fill="FFFFFF" w:themeFill="background1"/>
          </w:tcPr>
          <w:p w14:paraId="57355CE3" w14:textId="3119F9A2"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35394E47" w14:textId="30431D02"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24/00931/PRIOR</w:t>
            </w:r>
          </w:p>
        </w:tc>
        <w:tc>
          <w:tcPr>
            <w:tcW w:w="0" w:type="auto"/>
            <w:shd w:val="clear" w:color="auto" w:fill="FFFFFF" w:themeFill="background1"/>
          </w:tcPr>
          <w:p w14:paraId="727CBD27" w14:textId="0462EAF6"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Discovery House, Southgate Street</w:t>
            </w:r>
          </w:p>
        </w:tc>
        <w:tc>
          <w:tcPr>
            <w:tcW w:w="0" w:type="auto"/>
            <w:shd w:val="clear" w:color="auto" w:fill="FFFFFF" w:themeFill="background1"/>
          </w:tcPr>
          <w:p w14:paraId="36716652" w14:textId="24B0ED37"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Westgate</w:t>
            </w:r>
          </w:p>
        </w:tc>
        <w:tc>
          <w:tcPr>
            <w:tcW w:w="0" w:type="auto"/>
            <w:shd w:val="clear" w:color="auto" w:fill="FFFFFF" w:themeFill="background1"/>
          </w:tcPr>
          <w:p w14:paraId="376F3A05" w14:textId="7C37C19D"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16</w:t>
            </w:r>
          </w:p>
        </w:tc>
        <w:tc>
          <w:tcPr>
            <w:tcW w:w="0" w:type="auto"/>
            <w:shd w:val="clear" w:color="auto" w:fill="FFFFFF" w:themeFill="background1"/>
          </w:tcPr>
          <w:p w14:paraId="4111B0AD" w14:textId="2FAC27A2"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16</w:t>
            </w:r>
          </w:p>
        </w:tc>
        <w:tc>
          <w:tcPr>
            <w:tcW w:w="0" w:type="auto"/>
            <w:shd w:val="clear" w:color="auto" w:fill="FFFFFF" w:themeFill="background1"/>
          </w:tcPr>
          <w:p w14:paraId="5EB3B509" w14:textId="053AE46D"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2F351275" w14:textId="3F59CFF6"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2211D378" w14:textId="738BEA34"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20EA6894" w14:textId="59A4C4ED"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noWrap/>
          </w:tcPr>
          <w:p w14:paraId="5BBAC244" w14:textId="360A8432" w:rsidR="00634A44" w:rsidRPr="005F4AB5" w:rsidRDefault="00634A44" w:rsidP="00634A4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16</w:t>
            </w:r>
          </w:p>
        </w:tc>
      </w:tr>
      <w:tr w:rsidR="00104E16" w:rsidRPr="005F4AB5" w14:paraId="7C65DD9B"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5765C0A" w14:textId="7BF974D5" w:rsidR="00634A44" w:rsidRPr="005F4AB5" w:rsidRDefault="00634A44" w:rsidP="00634A44">
            <w:pPr>
              <w:widowControl/>
              <w:autoSpaceDE/>
              <w:autoSpaceDN/>
              <w:rPr>
                <w:rFonts w:eastAsia="Times New Roman"/>
                <w:sz w:val="20"/>
                <w:szCs w:val="20"/>
                <w:lang w:val="en-GB" w:eastAsia="en-GB"/>
              </w:rPr>
            </w:pPr>
            <w:r w:rsidRPr="005F4AB5">
              <w:rPr>
                <w:rFonts w:eastAsia="Times New Roman"/>
                <w:sz w:val="20"/>
                <w:szCs w:val="20"/>
                <w:lang w:val="en-GB" w:eastAsia="en-GB"/>
              </w:rPr>
              <w:t>A</w:t>
            </w:r>
          </w:p>
        </w:tc>
        <w:tc>
          <w:tcPr>
            <w:tcW w:w="0" w:type="auto"/>
            <w:shd w:val="clear" w:color="auto" w:fill="FFFFFF" w:themeFill="background1"/>
          </w:tcPr>
          <w:p w14:paraId="28B59D89" w14:textId="3041769F"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Large site: Detailed Planning</w:t>
            </w:r>
          </w:p>
        </w:tc>
        <w:tc>
          <w:tcPr>
            <w:tcW w:w="0" w:type="auto"/>
            <w:shd w:val="clear" w:color="auto" w:fill="FFFFFF" w:themeFill="background1"/>
          </w:tcPr>
          <w:p w14:paraId="5A69698F" w14:textId="29F34CC4"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19037628" w14:textId="19BCA6BA"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xml:space="preserve">24/00141/FUL </w:t>
            </w:r>
          </w:p>
        </w:tc>
        <w:tc>
          <w:tcPr>
            <w:tcW w:w="0" w:type="auto"/>
            <w:shd w:val="clear" w:color="auto" w:fill="FFFFFF" w:themeFill="background1"/>
          </w:tcPr>
          <w:p w14:paraId="34D8A2E4" w14:textId="53A7DB2F"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9 Denmark Road</w:t>
            </w:r>
          </w:p>
        </w:tc>
        <w:tc>
          <w:tcPr>
            <w:tcW w:w="0" w:type="auto"/>
            <w:shd w:val="clear" w:color="auto" w:fill="FFFFFF" w:themeFill="background1"/>
          </w:tcPr>
          <w:p w14:paraId="75EDCDCE" w14:textId="328923A2" w:rsidR="00634A44" w:rsidRPr="005F4AB5" w:rsidRDefault="00634A44" w:rsidP="00634A44">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Kingsholm &amp; Wotton</w:t>
            </w:r>
          </w:p>
        </w:tc>
        <w:tc>
          <w:tcPr>
            <w:tcW w:w="0" w:type="auto"/>
            <w:shd w:val="clear" w:color="auto" w:fill="FFFFFF" w:themeFill="background1"/>
          </w:tcPr>
          <w:p w14:paraId="3EFD54E4" w14:textId="020B8BAA" w:rsidR="00634A44" w:rsidRPr="005F4AB5" w:rsidRDefault="00634A44"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18</w:t>
            </w:r>
          </w:p>
        </w:tc>
        <w:tc>
          <w:tcPr>
            <w:tcW w:w="0" w:type="auto"/>
            <w:shd w:val="clear" w:color="auto" w:fill="FFFFFF" w:themeFill="background1"/>
          </w:tcPr>
          <w:p w14:paraId="17AE8ED0" w14:textId="7A794911" w:rsidR="00634A44" w:rsidRPr="005F4AB5" w:rsidRDefault="00634A44"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18</w:t>
            </w:r>
          </w:p>
        </w:tc>
        <w:tc>
          <w:tcPr>
            <w:tcW w:w="0" w:type="auto"/>
            <w:shd w:val="clear" w:color="auto" w:fill="FFFFFF" w:themeFill="background1"/>
          </w:tcPr>
          <w:p w14:paraId="1EA98F31" w14:textId="212391A4" w:rsidR="00634A44" w:rsidRPr="005F4AB5" w:rsidRDefault="00634A44"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69E7052B" w14:textId="6C96F660" w:rsidR="00634A44" w:rsidRPr="005F4AB5" w:rsidRDefault="00634A44"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5EBE2F91" w14:textId="7676AABF" w:rsidR="00634A44" w:rsidRPr="005F4AB5" w:rsidRDefault="00634A44"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4133AB90" w14:textId="4181548D" w:rsidR="00634A44" w:rsidRPr="005F4AB5" w:rsidRDefault="00634A44"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noWrap/>
          </w:tcPr>
          <w:p w14:paraId="76497DA3" w14:textId="20BE5C00" w:rsidR="00634A44" w:rsidRPr="005F4AB5" w:rsidRDefault="00634A44"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18</w:t>
            </w:r>
          </w:p>
        </w:tc>
      </w:tr>
      <w:tr w:rsidR="00524E73" w:rsidRPr="005F4AB5" w14:paraId="16A9235D"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FBFC46A" w14:textId="28139B25" w:rsidR="00524E73" w:rsidRPr="005F4AB5" w:rsidRDefault="00524E73" w:rsidP="00524E73">
            <w:pPr>
              <w:widowControl/>
              <w:autoSpaceDE/>
              <w:autoSpaceDN/>
              <w:rPr>
                <w:rFonts w:eastAsia="Times New Roman"/>
                <w:sz w:val="20"/>
                <w:szCs w:val="20"/>
                <w:lang w:val="en-GB" w:eastAsia="en-GB"/>
              </w:rPr>
            </w:pPr>
            <w:r w:rsidRPr="005F4AB5">
              <w:rPr>
                <w:rFonts w:eastAsia="Times New Roman"/>
                <w:sz w:val="20"/>
                <w:szCs w:val="20"/>
                <w:lang w:val="en-GB" w:eastAsia="en-GB"/>
              </w:rPr>
              <w:t>A</w:t>
            </w:r>
          </w:p>
        </w:tc>
        <w:tc>
          <w:tcPr>
            <w:tcW w:w="0" w:type="auto"/>
            <w:shd w:val="clear" w:color="auto" w:fill="FFFFFF" w:themeFill="background1"/>
          </w:tcPr>
          <w:p w14:paraId="4ADECB2F" w14:textId="1333B1BC" w:rsidR="00524E73" w:rsidRPr="005F4AB5" w:rsidRDefault="00524E73" w:rsidP="00524E7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Large site: Detailed Planning</w:t>
            </w:r>
          </w:p>
        </w:tc>
        <w:tc>
          <w:tcPr>
            <w:tcW w:w="0" w:type="auto"/>
            <w:shd w:val="clear" w:color="auto" w:fill="FFFFFF" w:themeFill="background1"/>
          </w:tcPr>
          <w:p w14:paraId="60259826" w14:textId="4136443A" w:rsidR="00524E73" w:rsidRPr="005F4AB5" w:rsidRDefault="00524E73" w:rsidP="00524E7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1D4ACDFC" w14:textId="1D94DF2D" w:rsidR="00524E73" w:rsidRPr="005F4AB5" w:rsidRDefault="00524E73" w:rsidP="00524E73">
            <w:pPr>
              <w:widowControl/>
              <w:autoSpaceDE/>
              <w:autoSpaceDN/>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23/00993/REM</w:t>
            </w:r>
          </w:p>
        </w:tc>
        <w:tc>
          <w:tcPr>
            <w:tcW w:w="0" w:type="auto"/>
            <w:shd w:val="clear" w:color="auto" w:fill="FFFFFF" w:themeFill="background1"/>
          </w:tcPr>
          <w:p w14:paraId="59CD10C4" w14:textId="7376B345" w:rsidR="00524E73" w:rsidRPr="005F4AB5" w:rsidRDefault="00524E73" w:rsidP="00524E7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Pr>
                <w:rFonts w:eastAsia="Times New Roman"/>
                <w:sz w:val="20"/>
                <w:szCs w:val="20"/>
                <w:lang w:val="en-GB" w:eastAsia="en-GB"/>
              </w:rPr>
              <w:t>Land at Hill Farm, Hempsted</w:t>
            </w:r>
          </w:p>
        </w:tc>
        <w:tc>
          <w:tcPr>
            <w:tcW w:w="0" w:type="auto"/>
            <w:shd w:val="clear" w:color="auto" w:fill="FFFFFF" w:themeFill="background1"/>
          </w:tcPr>
          <w:p w14:paraId="2B090F56" w14:textId="48BCC4FC" w:rsidR="00524E73" w:rsidRPr="005F4AB5" w:rsidRDefault="00524E73" w:rsidP="00524E73">
            <w:pPr>
              <w:widowControl/>
              <w:autoSpaceDE/>
              <w:autoSpaceDN/>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Westgate</w:t>
            </w:r>
          </w:p>
        </w:tc>
        <w:tc>
          <w:tcPr>
            <w:tcW w:w="0" w:type="auto"/>
            <w:shd w:val="clear" w:color="auto" w:fill="FFFFFF" w:themeFill="background1"/>
          </w:tcPr>
          <w:p w14:paraId="159E31CF" w14:textId="57A3427A" w:rsidR="00524E73" w:rsidRPr="005F4AB5" w:rsidRDefault="00524E73" w:rsidP="00524E73">
            <w:pPr>
              <w:widowControl/>
              <w:autoSpaceDE/>
              <w:autoSpaceDN/>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185</w:t>
            </w:r>
          </w:p>
        </w:tc>
        <w:tc>
          <w:tcPr>
            <w:tcW w:w="0" w:type="auto"/>
            <w:shd w:val="clear" w:color="auto" w:fill="FFFFFF" w:themeFill="background1"/>
          </w:tcPr>
          <w:p w14:paraId="70E98453" w14:textId="2D3A1BF0" w:rsidR="00524E73" w:rsidRPr="005F4AB5" w:rsidRDefault="00524E73" w:rsidP="00524E73">
            <w:pPr>
              <w:widowControl/>
              <w:autoSpaceDE/>
              <w:autoSpaceDN/>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0" w:type="auto"/>
            <w:shd w:val="clear" w:color="auto" w:fill="FFFFFF" w:themeFill="background1"/>
          </w:tcPr>
          <w:p w14:paraId="498651D9" w14:textId="294E82F5" w:rsidR="00524E73" w:rsidRPr="005F4AB5" w:rsidRDefault="00524E73" w:rsidP="00524E73">
            <w:pPr>
              <w:widowControl/>
              <w:autoSpaceDE/>
              <w:autoSpaceDN/>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0" w:type="auto"/>
            <w:shd w:val="clear" w:color="auto" w:fill="FFFFFF" w:themeFill="background1"/>
          </w:tcPr>
          <w:p w14:paraId="40FEC8AD" w14:textId="3635DFCB" w:rsidR="00524E73" w:rsidRPr="005F4AB5" w:rsidRDefault="00524E73" w:rsidP="00524E73">
            <w:pPr>
              <w:widowControl/>
              <w:autoSpaceDE/>
              <w:autoSpaceDN/>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25</w:t>
            </w:r>
          </w:p>
        </w:tc>
        <w:tc>
          <w:tcPr>
            <w:tcW w:w="0" w:type="auto"/>
            <w:shd w:val="clear" w:color="auto" w:fill="FFFFFF" w:themeFill="background1"/>
          </w:tcPr>
          <w:p w14:paraId="09655C55" w14:textId="1C815A3F" w:rsidR="00524E73" w:rsidRPr="005F4AB5" w:rsidRDefault="00524E73" w:rsidP="00524E73">
            <w:pPr>
              <w:widowControl/>
              <w:autoSpaceDE/>
              <w:autoSpaceDN/>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49</w:t>
            </w:r>
          </w:p>
        </w:tc>
        <w:tc>
          <w:tcPr>
            <w:tcW w:w="0" w:type="auto"/>
            <w:shd w:val="clear" w:color="auto" w:fill="FFFFFF" w:themeFill="background1"/>
          </w:tcPr>
          <w:p w14:paraId="1093E74C" w14:textId="42B61D00" w:rsidR="00524E73" w:rsidRPr="005F4AB5" w:rsidRDefault="00524E73" w:rsidP="00524E73">
            <w:pPr>
              <w:widowControl/>
              <w:autoSpaceDE/>
              <w:autoSpaceDN/>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49</w:t>
            </w:r>
          </w:p>
        </w:tc>
        <w:tc>
          <w:tcPr>
            <w:tcW w:w="0" w:type="auto"/>
            <w:shd w:val="clear" w:color="auto" w:fill="FFFFFF" w:themeFill="background1"/>
            <w:noWrap/>
          </w:tcPr>
          <w:p w14:paraId="151D0DDA" w14:textId="23F1B7A3" w:rsidR="00524E73" w:rsidRPr="005F4AB5" w:rsidRDefault="00524E73" w:rsidP="00524E73">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Pr>
                <w:rFonts w:eastAsia="Times New Roman"/>
                <w:sz w:val="20"/>
                <w:szCs w:val="20"/>
                <w:lang w:val="en-GB" w:eastAsia="en-GB"/>
              </w:rPr>
              <w:t>123</w:t>
            </w:r>
          </w:p>
        </w:tc>
      </w:tr>
      <w:tr w:rsidR="00104E16" w:rsidRPr="005F4AB5" w14:paraId="6FEEAE6D"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AF38C33" w14:textId="7F9688D5" w:rsidR="00355C7D" w:rsidRPr="005F4AB5" w:rsidRDefault="00355C7D" w:rsidP="00355C7D">
            <w:pPr>
              <w:widowControl/>
              <w:autoSpaceDE/>
              <w:autoSpaceDN/>
              <w:rPr>
                <w:rFonts w:eastAsia="Times New Roman"/>
                <w:sz w:val="20"/>
                <w:szCs w:val="20"/>
                <w:lang w:val="en-GB" w:eastAsia="en-GB"/>
              </w:rPr>
            </w:pPr>
            <w:r w:rsidRPr="005F4AB5">
              <w:rPr>
                <w:rFonts w:eastAsia="Times New Roman"/>
                <w:sz w:val="20"/>
                <w:szCs w:val="20"/>
                <w:lang w:val="en-GB" w:eastAsia="en-GB"/>
              </w:rPr>
              <w:t>B</w:t>
            </w:r>
          </w:p>
        </w:tc>
        <w:tc>
          <w:tcPr>
            <w:tcW w:w="0" w:type="auto"/>
            <w:shd w:val="clear" w:color="auto" w:fill="FFFFFF" w:themeFill="background1"/>
          </w:tcPr>
          <w:p w14:paraId="1C567B56" w14:textId="6996B36A"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Medium site: Detailed Planning</w:t>
            </w:r>
          </w:p>
        </w:tc>
        <w:tc>
          <w:tcPr>
            <w:tcW w:w="0" w:type="auto"/>
            <w:shd w:val="clear" w:color="auto" w:fill="FFFFFF" w:themeFill="background1"/>
          </w:tcPr>
          <w:p w14:paraId="3CC660FE" w14:textId="6FF752F9"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2183C671" w14:textId="7FA212D9"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22/00258/FUL</w:t>
            </w:r>
          </w:p>
        </w:tc>
        <w:tc>
          <w:tcPr>
            <w:tcW w:w="0" w:type="auto"/>
            <w:shd w:val="clear" w:color="auto" w:fill="FFFFFF" w:themeFill="background1"/>
          </w:tcPr>
          <w:p w14:paraId="5760B28B" w14:textId="65EB5E5D"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xml:space="preserve">35 Worcester Street </w:t>
            </w:r>
          </w:p>
        </w:tc>
        <w:tc>
          <w:tcPr>
            <w:tcW w:w="0" w:type="auto"/>
            <w:shd w:val="clear" w:color="auto" w:fill="FFFFFF" w:themeFill="background1"/>
          </w:tcPr>
          <w:p w14:paraId="33AE6200" w14:textId="560B3BD5"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Westgate</w:t>
            </w:r>
          </w:p>
        </w:tc>
        <w:tc>
          <w:tcPr>
            <w:tcW w:w="0" w:type="auto"/>
            <w:shd w:val="clear" w:color="auto" w:fill="FFFFFF" w:themeFill="background1"/>
          </w:tcPr>
          <w:p w14:paraId="43F27C3B" w14:textId="009CE0F4"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5</w:t>
            </w:r>
          </w:p>
        </w:tc>
        <w:tc>
          <w:tcPr>
            <w:tcW w:w="0" w:type="auto"/>
            <w:shd w:val="clear" w:color="auto" w:fill="FFFFFF" w:themeFill="background1"/>
          </w:tcPr>
          <w:p w14:paraId="4894C24B" w14:textId="720CD66E"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0DEE8F71" w14:textId="05E195EF"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5</w:t>
            </w:r>
          </w:p>
        </w:tc>
        <w:tc>
          <w:tcPr>
            <w:tcW w:w="0" w:type="auto"/>
            <w:shd w:val="clear" w:color="auto" w:fill="FFFFFF" w:themeFill="background1"/>
          </w:tcPr>
          <w:p w14:paraId="14018D83" w14:textId="24C84352"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1A9E9B8E" w14:textId="31CB79BB"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51C25C91" w14:textId="6609C5B6"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2866198B" w14:textId="7F06CA78"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5</w:t>
            </w:r>
          </w:p>
        </w:tc>
      </w:tr>
      <w:tr w:rsidR="00104E16" w:rsidRPr="005F4AB5" w14:paraId="463020DA"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2A68FFF" w14:textId="2303B759" w:rsidR="00355C7D" w:rsidRPr="005F4AB5" w:rsidRDefault="00355C7D" w:rsidP="00355C7D">
            <w:pPr>
              <w:widowControl/>
              <w:autoSpaceDE/>
              <w:autoSpaceDN/>
              <w:rPr>
                <w:rFonts w:eastAsia="Times New Roman"/>
                <w:sz w:val="20"/>
                <w:szCs w:val="20"/>
                <w:lang w:val="en-GB" w:eastAsia="en-GB"/>
              </w:rPr>
            </w:pPr>
            <w:r w:rsidRPr="005F4AB5">
              <w:rPr>
                <w:rFonts w:eastAsia="Times New Roman"/>
                <w:sz w:val="20"/>
                <w:szCs w:val="20"/>
                <w:lang w:val="en-GB" w:eastAsia="en-GB"/>
              </w:rPr>
              <w:t>B</w:t>
            </w:r>
          </w:p>
        </w:tc>
        <w:tc>
          <w:tcPr>
            <w:tcW w:w="0" w:type="auto"/>
            <w:shd w:val="clear" w:color="auto" w:fill="FFFFFF" w:themeFill="background1"/>
            <w:hideMark/>
          </w:tcPr>
          <w:p w14:paraId="3AEF01FA" w14:textId="18A32C5A"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Medium site: Detailed Planning</w:t>
            </w:r>
          </w:p>
        </w:tc>
        <w:tc>
          <w:tcPr>
            <w:tcW w:w="0" w:type="auto"/>
            <w:shd w:val="clear" w:color="auto" w:fill="FFFFFF" w:themeFill="background1"/>
          </w:tcPr>
          <w:p w14:paraId="7E2BB393" w14:textId="7DF97B7E"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6D9513D9" w14:textId="07BA0F90"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22/00755/FUL</w:t>
            </w:r>
          </w:p>
        </w:tc>
        <w:tc>
          <w:tcPr>
            <w:tcW w:w="0" w:type="auto"/>
            <w:shd w:val="clear" w:color="auto" w:fill="FFFFFF" w:themeFill="background1"/>
          </w:tcPr>
          <w:p w14:paraId="0B275902" w14:textId="11900894"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Land adj / rear of 19-21 Brunswick Road</w:t>
            </w:r>
          </w:p>
        </w:tc>
        <w:tc>
          <w:tcPr>
            <w:tcW w:w="0" w:type="auto"/>
            <w:shd w:val="clear" w:color="auto" w:fill="FFFFFF" w:themeFill="background1"/>
          </w:tcPr>
          <w:p w14:paraId="7F8E47DD" w14:textId="08033259"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Westgate</w:t>
            </w:r>
          </w:p>
        </w:tc>
        <w:tc>
          <w:tcPr>
            <w:tcW w:w="0" w:type="auto"/>
            <w:shd w:val="clear" w:color="auto" w:fill="FFFFFF" w:themeFill="background1"/>
          </w:tcPr>
          <w:p w14:paraId="1067D496" w14:textId="1D6EA684"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9</w:t>
            </w:r>
          </w:p>
        </w:tc>
        <w:tc>
          <w:tcPr>
            <w:tcW w:w="0" w:type="auto"/>
            <w:shd w:val="clear" w:color="auto" w:fill="FFFFFF" w:themeFill="background1"/>
          </w:tcPr>
          <w:p w14:paraId="7A533629" w14:textId="718B22DC"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6551C185" w14:textId="3A419F3C"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9</w:t>
            </w:r>
          </w:p>
        </w:tc>
        <w:tc>
          <w:tcPr>
            <w:tcW w:w="0" w:type="auto"/>
            <w:shd w:val="clear" w:color="auto" w:fill="FFFFFF" w:themeFill="background1"/>
          </w:tcPr>
          <w:p w14:paraId="0C7A0A9F" w14:textId="1FF2BB99"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40F6408A" w14:textId="3E13A650"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4216D29D" w14:textId="12E01AB7"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009A9AC5" w14:textId="429258EE"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9</w:t>
            </w:r>
          </w:p>
        </w:tc>
      </w:tr>
      <w:tr w:rsidR="00104E16" w:rsidRPr="005F4AB5" w14:paraId="3404C131"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F692842" w14:textId="0EAF9AA4" w:rsidR="00355C7D" w:rsidRPr="005F4AB5" w:rsidRDefault="00355C7D" w:rsidP="00355C7D">
            <w:pPr>
              <w:widowControl/>
              <w:autoSpaceDE/>
              <w:autoSpaceDN/>
              <w:rPr>
                <w:rFonts w:eastAsia="Times New Roman"/>
                <w:sz w:val="20"/>
                <w:szCs w:val="20"/>
                <w:lang w:val="en-GB" w:eastAsia="en-GB"/>
              </w:rPr>
            </w:pPr>
            <w:r w:rsidRPr="005F4AB5">
              <w:rPr>
                <w:rFonts w:eastAsia="Times New Roman"/>
                <w:sz w:val="20"/>
                <w:szCs w:val="20"/>
                <w:lang w:val="en-GB" w:eastAsia="en-GB"/>
              </w:rPr>
              <w:t>B</w:t>
            </w:r>
          </w:p>
        </w:tc>
        <w:tc>
          <w:tcPr>
            <w:tcW w:w="0" w:type="auto"/>
            <w:shd w:val="clear" w:color="auto" w:fill="FFFFFF" w:themeFill="background1"/>
            <w:hideMark/>
          </w:tcPr>
          <w:p w14:paraId="403A41D8" w14:textId="1211C722"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Medium site: </w:t>
            </w:r>
            <w:r w:rsidRPr="005F4AB5">
              <w:rPr>
                <w:rFonts w:eastAsia="Times New Roman"/>
                <w:sz w:val="20"/>
                <w:szCs w:val="20"/>
                <w:lang w:val="en-GB" w:eastAsia="en-GB"/>
              </w:rPr>
              <w:lastRenderedPageBreak/>
              <w:t>Detailed Planning</w:t>
            </w:r>
          </w:p>
        </w:tc>
        <w:tc>
          <w:tcPr>
            <w:tcW w:w="0" w:type="auto"/>
            <w:shd w:val="clear" w:color="auto" w:fill="FFFFFF" w:themeFill="background1"/>
          </w:tcPr>
          <w:p w14:paraId="15FCDB74" w14:textId="5E498451"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lastRenderedPageBreak/>
              <w:t>Not started</w:t>
            </w:r>
          </w:p>
        </w:tc>
        <w:tc>
          <w:tcPr>
            <w:tcW w:w="0" w:type="auto"/>
            <w:shd w:val="clear" w:color="auto" w:fill="FFFFFF" w:themeFill="background1"/>
          </w:tcPr>
          <w:p w14:paraId="207BBEC5" w14:textId="07F3BD31"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24/00251/FUL</w:t>
            </w:r>
          </w:p>
        </w:tc>
        <w:tc>
          <w:tcPr>
            <w:tcW w:w="0" w:type="auto"/>
            <w:shd w:val="clear" w:color="auto" w:fill="FFFFFF" w:themeFill="background1"/>
          </w:tcPr>
          <w:p w14:paraId="465245EF" w14:textId="5DA5D3BB"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58 Eastgate Street</w:t>
            </w:r>
          </w:p>
        </w:tc>
        <w:tc>
          <w:tcPr>
            <w:tcW w:w="0" w:type="auto"/>
            <w:shd w:val="clear" w:color="auto" w:fill="FFFFFF" w:themeFill="background1"/>
          </w:tcPr>
          <w:p w14:paraId="5D51CEC5" w14:textId="7DAF3D3F"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xml:space="preserve">Westgate </w:t>
            </w:r>
          </w:p>
        </w:tc>
        <w:tc>
          <w:tcPr>
            <w:tcW w:w="0" w:type="auto"/>
            <w:shd w:val="clear" w:color="auto" w:fill="FFFFFF" w:themeFill="background1"/>
          </w:tcPr>
          <w:p w14:paraId="26763974" w14:textId="38F6E06F"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6</w:t>
            </w:r>
          </w:p>
        </w:tc>
        <w:tc>
          <w:tcPr>
            <w:tcW w:w="0" w:type="auto"/>
            <w:shd w:val="clear" w:color="auto" w:fill="FFFFFF" w:themeFill="background1"/>
          </w:tcPr>
          <w:p w14:paraId="2086E179" w14:textId="01C53727"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718499A0" w14:textId="02868E1E"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6</w:t>
            </w:r>
          </w:p>
        </w:tc>
        <w:tc>
          <w:tcPr>
            <w:tcW w:w="0" w:type="auto"/>
            <w:shd w:val="clear" w:color="auto" w:fill="FFFFFF" w:themeFill="background1"/>
          </w:tcPr>
          <w:p w14:paraId="07067196" w14:textId="3A6D952E"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1D402EAF" w14:textId="1900D01E"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424BA2FA" w14:textId="4F3CD089"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6AB81B86" w14:textId="036A6C45"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6</w:t>
            </w:r>
          </w:p>
        </w:tc>
      </w:tr>
      <w:tr w:rsidR="00104E16" w:rsidRPr="005F4AB5" w14:paraId="6219D67C"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57442A7" w14:textId="768325BB" w:rsidR="00355C7D" w:rsidRPr="005F4AB5" w:rsidRDefault="00355C7D" w:rsidP="00355C7D">
            <w:pPr>
              <w:widowControl/>
              <w:autoSpaceDE/>
              <w:autoSpaceDN/>
              <w:rPr>
                <w:rFonts w:eastAsia="Times New Roman"/>
                <w:sz w:val="20"/>
                <w:szCs w:val="20"/>
                <w:lang w:val="en-GB" w:eastAsia="en-GB"/>
              </w:rPr>
            </w:pPr>
            <w:r w:rsidRPr="005F4AB5">
              <w:rPr>
                <w:rFonts w:eastAsia="Times New Roman"/>
                <w:sz w:val="20"/>
                <w:szCs w:val="20"/>
                <w:lang w:val="en-GB" w:eastAsia="en-GB"/>
              </w:rPr>
              <w:t>B</w:t>
            </w:r>
          </w:p>
        </w:tc>
        <w:tc>
          <w:tcPr>
            <w:tcW w:w="0" w:type="auto"/>
            <w:shd w:val="clear" w:color="auto" w:fill="FFFFFF" w:themeFill="background1"/>
            <w:hideMark/>
          </w:tcPr>
          <w:p w14:paraId="482DCFF1" w14:textId="06B0F34C"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Medium site: Detailed Planning </w:t>
            </w:r>
          </w:p>
        </w:tc>
        <w:tc>
          <w:tcPr>
            <w:tcW w:w="0" w:type="auto"/>
            <w:shd w:val="clear" w:color="auto" w:fill="FFFFFF" w:themeFill="background1"/>
          </w:tcPr>
          <w:p w14:paraId="208F3123" w14:textId="3908D2B9"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Under construction</w:t>
            </w:r>
          </w:p>
        </w:tc>
        <w:tc>
          <w:tcPr>
            <w:tcW w:w="0" w:type="auto"/>
            <w:shd w:val="clear" w:color="auto" w:fill="FFFFFF" w:themeFill="background1"/>
          </w:tcPr>
          <w:p w14:paraId="305CC45D" w14:textId="05A449CF"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18/00144/FUL</w:t>
            </w:r>
          </w:p>
        </w:tc>
        <w:tc>
          <w:tcPr>
            <w:tcW w:w="0" w:type="auto"/>
            <w:shd w:val="clear" w:color="auto" w:fill="FFFFFF" w:themeFill="background1"/>
          </w:tcPr>
          <w:p w14:paraId="71E5E38C" w14:textId="71F0A41D"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PATA Centre, Grange Road</w:t>
            </w:r>
          </w:p>
        </w:tc>
        <w:tc>
          <w:tcPr>
            <w:tcW w:w="0" w:type="auto"/>
            <w:shd w:val="clear" w:color="auto" w:fill="FFFFFF" w:themeFill="background1"/>
          </w:tcPr>
          <w:p w14:paraId="1B5761CE" w14:textId="0274AE8D"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Tuffley</w:t>
            </w:r>
          </w:p>
        </w:tc>
        <w:tc>
          <w:tcPr>
            <w:tcW w:w="0" w:type="auto"/>
            <w:shd w:val="clear" w:color="auto" w:fill="FFFFFF" w:themeFill="background1"/>
          </w:tcPr>
          <w:p w14:paraId="024FDDB4" w14:textId="58EE0E91"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7</w:t>
            </w:r>
          </w:p>
        </w:tc>
        <w:tc>
          <w:tcPr>
            <w:tcW w:w="0" w:type="auto"/>
            <w:shd w:val="clear" w:color="auto" w:fill="FFFFFF" w:themeFill="background1"/>
          </w:tcPr>
          <w:p w14:paraId="4CF8E8E7" w14:textId="37B58B7A" w:rsidR="00355C7D" w:rsidRPr="005F4AB5" w:rsidRDefault="001E6915"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7</w:t>
            </w:r>
          </w:p>
        </w:tc>
        <w:tc>
          <w:tcPr>
            <w:tcW w:w="0" w:type="auto"/>
            <w:shd w:val="clear" w:color="auto" w:fill="FFFFFF" w:themeFill="background1"/>
          </w:tcPr>
          <w:p w14:paraId="040BCDB3" w14:textId="483AD36D"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53DF0619" w14:textId="13CDC5A8"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2DF9BE28" w14:textId="58247554"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6100CC89" w14:textId="09B5F34E"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76B392F6" w14:textId="68368020"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7</w:t>
            </w:r>
          </w:p>
        </w:tc>
      </w:tr>
      <w:tr w:rsidR="00104E16" w:rsidRPr="005F4AB5" w14:paraId="2AEA90DE"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4463B46" w14:textId="77194C97" w:rsidR="00355C7D" w:rsidRPr="005F4AB5" w:rsidRDefault="00355C7D" w:rsidP="00355C7D">
            <w:pPr>
              <w:widowControl/>
              <w:autoSpaceDE/>
              <w:autoSpaceDN/>
              <w:rPr>
                <w:rFonts w:eastAsia="Times New Roman"/>
                <w:sz w:val="20"/>
                <w:szCs w:val="20"/>
                <w:lang w:val="en-GB" w:eastAsia="en-GB"/>
              </w:rPr>
            </w:pPr>
            <w:r w:rsidRPr="005F4AB5">
              <w:rPr>
                <w:rFonts w:eastAsia="Times New Roman"/>
                <w:sz w:val="20"/>
                <w:szCs w:val="20"/>
                <w:lang w:val="en-GB" w:eastAsia="en-GB"/>
              </w:rPr>
              <w:t>B</w:t>
            </w:r>
          </w:p>
        </w:tc>
        <w:tc>
          <w:tcPr>
            <w:tcW w:w="0" w:type="auto"/>
            <w:shd w:val="clear" w:color="auto" w:fill="FFFFFF" w:themeFill="background1"/>
            <w:hideMark/>
          </w:tcPr>
          <w:p w14:paraId="655CB94E" w14:textId="229D7444"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Medium site: Detailed Planning </w:t>
            </w:r>
          </w:p>
        </w:tc>
        <w:tc>
          <w:tcPr>
            <w:tcW w:w="0" w:type="auto"/>
            <w:shd w:val="clear" w:color="auto" w:fill="FFFFFF" w:themeFill="background1"/>
          </w:tcPr>
          <w:p w14:paraId="313DCD1D" w14:textId="55ECFFEB"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Under construction</w:t>
            </w:r>
          </w:p>
        </w:tc>
        <w:tc>
          <w:tcPr>
            <w:tcW w:w="0" w:type="auto"/>
            <w:shd w:val="clear" w:color="auto" w:fill="FFFFFF" w:themeFill="background1"/>
          </w:tcPr>
          <w:p w14:paraId="2AF29AF7" w14:textId="0AB049F7"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22/00807/FUL</w:t>
            </w:r>
          </w:p>
        </w:tc>
        <w:tc>
          <w:tcPr>
            <w:tcW w:w="0" w:type="auto"/>
            <w:shd w:val="clear" w:color="auto" w:fill="FFFFFF" w:themeFill="background1"/>
          </w:tcPr>
          <w:p w14:paraId="382FCFDF" w14:textId="37D4F1C2"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63 - 65 Denmark Road</w:t>
            </w:r>
          </w:p>
        </w:tc>
        <w:tc>
          <w:tcPr>
            <w:tcW w:w="0" w:type="auto"/>
            <w:shd w:val="clear" w:color="auto" w:fill="FFFFFF" w:themeFill="background1"/>
          </w:tcPr>
          <w:p w14:paraId="1D466532" w14:textId="5158F977"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Kingsholm &amp; Wotton</w:t>
            </w:r>
          </w:p>
        </w:tc>
        <w:tc>
          <w:tcPr>
            <w:tcW w:w="0" w:type="auto"/>
            <w:shd w:val="clear" w:color="auto" w:fill="FFFFFF" w:themeFill="background1"/>
          </w:tcPr>
          <w:p w14:paraId="30A4F812" w14:textId="3FB1B2C2"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9</w:t>
            </w:r>
          </w:p>
        </w:tc>
        <w:tc>
          <w:tcPr>
            <w:tcW w:w="0" w:type="auto"/>
            <w:shd w:val="clear" w:color="auto" w:fill="FFFFFF" w:themeFill="background1"/>
          </w:tcPr>
          <w:p w14:paraId="43CD9A43" w14:textId="2443BE5F"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41A3E05F" w14:textId="67982B0D"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9</w:t>
            </w:r>
          </w:p>
        </w:tc>
        <w:tc>
          <w:tcPr>
            <w:tcW w:w="0" w:type="auto"/>
            <w:shd w:val="clear" w:color="auto" w:fill="FFFFFF" w:themeFill="background1"/>
          </w:tcPr>
          <w:p w14:paraId="46E362CB" w14:textId="55EAFD7B"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1C51EE20" w14:textId="330B2FA7"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0E28F614" w14:textId="4F2FD696"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5475166F" w14:textId="53B880EA" w:rsidR="00355C7D" w:rsidRPr="005F4AB5" w:rsidRDefault="00355C7D" w:rsidP="00355C7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9</w:t>
            </w:r>
          </w:p>
        </w:tc>
      </w:tr>
      <w:tr w:rsidR="00104E16" w:rsidRPr="005F4AB5" w14:paraId="24316B49"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3C467BF" w14:textId="4F00A66F" w:rsidR="00355C7D" w:rsidRPr="005F4AB5" w:rsidRDefault="00355C7D" w:rsidP="00355C7D">
            <w:pPr>
              <w:widowControl/>
              <w:autoSpaceDE/>
              <w:autoSpaceDN/>
              <w:rPr>
                <w:rFonts w:eastAsia="Times New Roman"/>
                <w:sz w:val="20"/>
                <w:szCs w:val="20"/>
                <w:lang w:val="en-GB" w:eastAsia="en-GB"/>
              </w:rPr>
            </w:pPr>
            <w:r w:rsidRPr="005F4AB5">
              <w:rPr>
                <w:rFonts w:eastAsia="Times New Roman"/>
                <w:sz w:val="20"/>
                <w:szCs w:val="20"/>
                <w:lang w:val="en-GB" w:eastAsia="en-GB"/>
              </w:rPr>
              <w:t>B</w:t>
            </w:r>
          </w:p>
        </w:tc>
        <w:tc>
          <w:tcPr>
            <w:tcW w:w="0" w:type="auto"/>
            <w:shd w:val="clear" w:color="auto" w:fill="FFFFFF" w:themeFill="background1"/>
            <w:hideMark/>
          </w:tcPr>
          <w:p w14:paraId="20CCCEB9" w14:textId="32F399CA"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Medium site: Detailed Planning</w:t>
            </w:r>
          </w:p>
        </w:tc>
        <w:tc>
          <w:tcPr>
            <w:tcW w:w="0" w:type="auto"/>
            <w:shd w:val="clear" w:color="auto" w:fill="FFFFFF" w:themeFill="background1"/>
          </w:tcPr>
          <w:p w14:paraId="6C235BDB" w14:textId="5E83B80B"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Under construction</w:t>
            </w:r>
          </w:p>
        </w:tc>
        <w:tc>
          <w:tcPr>
            <w:tcW w:w="0" w:type="auto"/>
            <w:shd w:val="clear" w:color="auto" w:fill="FFFFFF" w:themeFill="background1"/>
          </w:tcPr>
          <w:p w14:paraId="2387D9CB" w14:textId="28125250"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24/00955/FUL</w:t>
            </w:r>
          </w:p>
        </w:tc>
        <w:tc>
          <w:tcPr>
            <w:tcW w:w="0" w:type="auto"/>
            <w:shd w:val="clear" w:color="auto" w:fill="FFFFFF" w:themeFill="background1"/>
          </w:tcPr>
          <w:p w14:paraId="2DBB16B1" w14:textId="7F4B77D0"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Discovery House, Southgate Street</w:t>
            </w:r>
          </w:p>
        </w:tc>
        <w:tc>
          <w:tcPr>
            <w:tcW w:w="0" w:type="auto"/>
            <w:shd w:val="clear" w:color="auto" w:fill="FFFFFF" w:themeFill="background1"/>
          </w:tcPr>
          <w:p w14:paraId="7D6244E3" w14:textId="5D672472"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Westgate</w:t>
            </w:r>
          </w:p>
        </w:tc>
        <w:tc>
          <w:tcPr>
            <w:tcW w:w="0" w:type="auto"/>
            <w:shd w:val="clear" w:color="auto" w:fill="FFFFFF" w:themeFill="background1"/>
          </w:tcPr>
          <w:p w14:paraId="3DF9A855" w14:textId="1F238D67"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5</w:t>
            </w:r>
          </w:p>
        </w:tc>
        <w:tc>
          <w:tcPr>
            <w:tcW w:w="0" w:type="auto"/>
            <w:shd w:val="clear" w:color="auto" w:fill="FFFFFF" w:themeFill="background1"/>
          </w:tcPr>
          <w:p w14:paraId="2DBBA610" w14:textId="0B0B1C70" w:rsidR="00355C7D" w:rsidRPr="005F4AB5" w:rsidRDefault="001E6915"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5</w:t>
            </w:r>
          </w:p>
        </w:tc>
        <w:tc>
          <w:tcPr>
            <w:tcW w:w="0" w:type="auto"/>
            <w:shd w:val="clear" w:color="auto" w:fill="FFFFFF" w:themeFill="background1"/>
          </w:tcPr>
          <w:p w14:paraId="12DE7DD8" w14:textId="5B140E26"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7C8E8CA0" w14:textId="2B6F9EF3"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03B5C912" w14:textId="74318D44"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6FEF5D3A" w14:textId="2C05645D"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4CD861EC" w14:textId="0DDE33C7" w:rsidR="00355C7D" w:rsidRPr="005F4AB5" w:rsidRDefault="00355C7D" w:rsidP="00355C7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5</w:t>
            </w:r>
          </w:p>
        </w:tc>
      </w:tr>
      <w:tr w:rsidR="00104E16" w:rsidRPr="005F4AB5" w14:paraId="2CD06CB9"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6ED8D1D" w14:textId="5645F39B" w:rsidR="008E1096" w:rsidRPr="005F4AB5" w:rsidRDefault="008E1096" w:rsidP="008E1096">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hideMark/>
          </w:tcPr>
          <w:p w14:paraId="16EF5C0F" w14:textId="77777777"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324B50DA" w14:textId="457B56A4"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0E698155" w14:textId="747443B7"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00934DF5" w14:textId="5F90E729"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xml:space="preserve">20/00550/PRIOR </w:t>
            </w:r>
          </w:p>
        </w:tc>
        <w:tc>
          <w:tcPr>
            <w:tcW w:w="0" w:type="auto"/>
            <w:shd w:val="clear" w:color="auto" w:fill="FFFFFF" w:themeFill="background1"/>
          </w:tcPr>
          <w:p w14:paraId="2E226CB2" w14:textId="220B512D"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 St Aldwyn Road</w:t>
            </w:r>
          </w:p>
        </w:tc>
        <w:tc>
          <w:tcPr>
            <w:tcW w:w="0" w:type="auto"/>
            <w:shd w:val="clear" w:color="auto" w:fill="FFFFFF" w:themeFill="background1"/>
          </w:tcPr>
          <w:p w14:paraId="79B0C772" w14:textId="1ACD3423"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xml:space="preserve">Barton &amp; Tredworth </w:t>
            </w:r>
          </w:p>
        </w:tc>
        <w:tc>
          <w:tcPr>
            <w:tcW w:w="0" w:type="auto"/>
            <w:shd w:val="clear" w:color="auto" w:fill="FFFFFF" w:themeFill="background1"/>
          </w:tcPr>
          <w:p w14:paraId="0DE06381" w14:textId="7FD37B3E"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74560A20" w14:textId="5FAB6DAB"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23CF6BA8" w14:textId="19CDA0EA"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6761D396" w14:textId="00A2F832"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2EFF0D3E" w14:textId="071838B6"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09ABBEA5" w14:textId="4744477B"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1CBD7F7C" w14:textId="17A146F2"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r>
      <w:tr w:rsidR="00104E16" w:rsidRPr="005F4AB5" w14:paraId="678A88BD"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2E7C348" w14:textId="1ED9527A" w:rsidR="008E1096" w:rsidRPr="005F4AB5" w:rsidRDefault="008E1096" w:rsidP="008E1096">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123DCC05" w14:textId="77777777"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203B8556" w14:textId="67C88A0C"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26770877" w14:textId="1364CAF9"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3F8C7700" w14:textId="5500FC2A"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21/00833/JPA</w:t>
            </w:r>
          </w:p>
        </w:tc>
        <w:tc>
          <w:tcPr>
            <w:tcW w:w="0" w:type="auto"/>
            <w:shd w:val="clear" w:color="auto" w:fill="FFFFFF" w:themeFill="background1"/>
          </w:tcPr>
          <w:p w14:paraId="0ABE1691" w14:textId="2735F023"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55 Northgate Street</w:t>
            </w:r>
          </w:p>
        </w:tc>
        <w:tc>
          <w:tcPr>
            <w:tcW w:w="0" w:type="auto"/>
            <w:shd w:val="clear" w:color="auto" w:fill="FFFFFF" w:themeFill="background1"/>
          </w:tcPr>
          <w:p w14:paraId="39746ACE" w14:textId="4D55E254"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Westgate</w:t>
            </w:r>
          </w:p>
        </w:tc>
        <w:tc>
          <w:tcPr>
            <w:tcW w:w="0" w:type="auto"/>
            <w:shd w:val="clear" w:color="auto" w:fill="FFFFFF" w:themeFill="background1"/>
          </w:tcPr>
          <w:p w14:paraId="4232282B" w14:textId="6F2BE6FE"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4</w:t>
            </w:r>
          </w:p>
        </w:tc>
        <w:tc>
          <w:tcPr>
            <w:tcW w:w="0" w:type="auto"/>
            <w:shd w:val="clear" w:color="auto" w:fill="FFFFFF" w:themeFill="background1"/>
          </w:tcPr>
          <w:p w14:paraId="193BD077" w14:textId="4E9B1A01"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26B92CB7" w14:textId="28AD9AEA" w:rsidR="008E1096" w:rsidRPr="005F4AB5" w:rsidRDefault="001A4C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4</w:t>
            </w:r>
          </w:p>
        </w:tc>
        <w:tc>
          <w:tcPr>
            <w:tcW w:w="0" w:type="auto"/>
            <w:shd w:val="clear" w:color="auto" w:fill="FFFFFF" w:themeFill="background1"/>
          </w:tcPr>
          <w:p w14:paraId="28F526E6" w14:textId="60A034AC"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5FE204CB" w14:textId="7D11940E"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7CDEC545" w14:textId="2669E622"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0942ECFE" w14:textId="212B6B50"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4</w:t>
            </w:r>
          </w:p>
        </w:tc>
      </w:tr>
      <w:tr w:rsidR="00104E16" w:rsidRPr="005F4AB5" w14:paraId="2E95F859"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8ACAAE7" w14:textId="1CCB796B" w:rsidR="008E1096" w:rsidRPr="005F4AB5" w:rsidRDefault="008E1096" w:rsidP="008E1096">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44FDB1DF" w14:textId="77777777"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23253D81" w14:textId="539D9419"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66B552AE" w14:textId="5F4765FC"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5531CEBA" w14:textId="21D6C328"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21/01246/FUL</w:t>
            </w:r>
          </w:p>
        </w:tc>
        <w:tc>
          <w:tcPr>
            <w:tcW w:w="0" w:type="auto"/>
            <w:shd w:val="clear" w:color="auto" w:fill="FFFFFF" w:themeFill="background1"/>
          </w:tcPr>
          <w:p w14:paraId="72D49686" w14:textId="5B4A2F74"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10 Milton Avenue</w:t>
            </w:r>
          </w:p>
        </w:tc>
        <w:tc>
          <w:tcPr>
            <w:tcW w:w="0" w:type="auto"/>
            <w:shd w:val="clear" w:color="auto" w:fill="FFFFFF" w:themeFill="background1"/>
          </w:tcPr>
          <w:p w14:paraId="609F9487" w14:textId="72D89285"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Podsmead</w:t>
            </w:r>
          </w:p>
        </w:tc>
        <w:tc>
          <w:tcPr>
            <w:tcW w:w="0" w:type="auto"/>
            <w:shd w:val="clear" w:color="auto" w:fill="FFFFFF" w:themeFill="background1"/>
          </w:tcPr>
          <w:p w14:paraId="6511F700" w14:textId="024986A7"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7D3DB3C8" w14:textId="2F416CE2"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4326F85E" w14:textId="16E45E71" w:rsidR="008E1096" w:rsidRPr="005F4AB5" w:rsidRDefault="001A4C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1</w:t>
            </w:r>
          </w:p>
        </w:tc>
        <w:tc>
          <w:tcPr>
            <w:tcW w:w="0" w:type="auto"/>
            <w:shd w:val="clear" w:color="auto" w:fill="FFFFFF" w:themeFill="background1"/>
          </w:tcPr>
          <w:p w14:paraId="4912F99A" w14:textId="1A931F64"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77FE5F69" w14:textId="1928017E"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749F3082" w14:textId="2ECE0129"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1A14E4B0" w14:textId="19C0A04A"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r>
      <w:tr w:rsidR="00104E16" w:rsidRPr="005F4AB5" w14:paraId="3C72807F"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A6541F4" w14:textId="51206BC2" w:rsidR="008E1096" w:rsidRPr="005F4AB5" w:rsidRDefault="008E1096" w:rsidP="008E1096">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63D2CAF0" w14:textId="77777777"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299FFC64" w14:textId="28C054BF"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79A25E7E" w14:textId="757FEB04"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651003A1" w14:textId="47099E96"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22/00375/FUL</w:t>
            </w:r>
          </w:p>
        </w:tc>
        <w:tc>
          <w:tcPr>
            <w:tcW w:w="0" w:type="auto"/>
            <w:shd w:val="clear" w:color="auto" w:fill="FFFFFF" w:themeFill="background1"/>
          </w:tcPr>
          <w:p w14:paraId="32681B12" w14:textId="480B4C95"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13 Cleeve Road</w:t>
            </w:r>
          </w:p>
        </w:tc>
        <w:tc>
          <w:tcPr>
            <w:tcW w:w="0" w:type="auto"/>
            <w:shd w:val="clear" w:color="auto" w:fill="FFFFFF" w:themeFill="background1"/>
          </w:tcPr>
          <w:p w14:paraId="5EE34460" w14:textId="7979E8A1"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Matson &amp; Robinswood</w:t>
            </w:r>
          </w:p>
        </w:tc>
        <w:tc>
          <w:tcPr>
            <w:tcW w:w="0" w:type="auto"/>
            <w:shd w:val="clear" w:color="auto" w:fill="FFFFFF" w:themeFill="background1"/>
          </w:tcPr>
          <w:p w14:paraId="4FC2F19D" w14:textId="59BF6931"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04BBEC9B" w14:textId="7BFAEFBE"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38709E3F" w14:textId="10BE680B" w:rsidR="008E1096" w:rsidRPr="005F4AB5" w:rsidRDefault="001A4C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1</w:t>
            </w:r>
          </w:p>
        </w:tc>
        <w:tc>
          <w:tcPr>
            <w:tcW w:w="0" w:type="auto"/>
            <w:shd w:val="clear" w:color="auto" w:fill="FFFFFF" w:themeFill="background1"/>
          </w:tcPr>
          <w:p w14:paraId="5373A99B" w14:textId="1AFE570D"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173E8D88" w14:textId="2A5E6085"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55C8554D" w14:textId="01A99D25"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017D3BF9" w14:textId="0DD1E5E7"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r>
      <w:tr w:rsidR="00104E16" w:rsidRPr="005F4AB5" w14:paraId="543DC47F"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FB85518" w14:textId="4767EB2B" w:rsidR="008E1096" w:rsidRPr="005F4AB5" w:rsidRDefault="008E1096" w:rsidP="008E1096">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78B5AE0E" w14:textId="77777777"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2DA52734" w14:textId="6CE33C54"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33DDB32F" w14:textId="648E5C6C"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5B2FDBE1" w14:textId="5715BE27"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22/01066/LAW</w:t>
            </w:r>
          </w:p>
        </w:tc>
        <w:tc>
          <w:tcPr>
            <w:tcW w:w="0" w:type="auto"/>
            <w:shd w:val="clear" w:color="auto" w:fill="FFFFFF" w:themeFill="background1"/>
          </w:tcPr>
          <w:p w14:paraId="56131D5B" w14:textId="7485C8FE"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28 Northgate Street</w:t>
            </w:r>
          </w:p>
        </w:tc>
        <w:tc>
          <w:tcPr>
            <w:tcW w:w="0" w:type="auto"/>
            <w:shd w:val="clear" w:color="auto" w:fill="FFFFFF" w:themeFill="background1"/>
          </w:tcPr>
          <w:p w14:paraId="365A0500" w14:textId="54DE737B"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Westgate</w:t>
            </w:r>
          </w:p>
        </w:tc>
        <w:tc>
          <w:tcPr>
            <w:tcW w:w="0" w:type="auto"/>
            <w:shd w:val="clear" w:color="auto" w:fill="FFFFFF" w:themeFill="background1"/>
          </w:tcPr>
          <w:p w14:paraId="367E9BC8" w14:textId="1F33634F"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w:t>
            </w:r>
          </w:p>
        </w:tc>
        <w:tc>
          <w:tcPr>
            <w:tcW w:w="0" w:type="auto"/>
            <w:shd w:val="clear" w:color="auto" w:fill="FFFFFF" w:themeFill="background1"/>
          </w:tcPr>
          <w:p w14:paraId="322B05C6" w14:textId="64CC3D77"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378946A9" w14:textId="6379521B" w:rsidR="008E1096" w:rsidRPr="005F4AB5" w:rsidRDefault="001A4C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2</w:t>
            </w:r>
          </w:p>
        </w:tc>
        <w:tc>
          <w:tcPr>
            <w:tcW w:w="0" w:type="auto"/>
            <w:shd w:val="clear" w:color="auto" w:fill="FFFFFF" w:themeFill="background1"/>
          </w:tcPr>
          <w:p w14:paraId="2868910C" w14:textId="27DFBB7C"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4E91300E" w14:textId="4D283EB7"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32ED79DB" w14:textId="1BFAD4F0"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5B688832" w14:textId="486D94CA"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w:t>
            </w:r>
          </w:p>
        </w:tc>
      </w:tr>
      <w:tr w:rsidR="00104E16" w:rsidRPr="005F4AB5" w14:paraId="1C50898B"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0A83046" w14:textId="447C8974" w:rsidR="008E1096" w:rsidRPr="005F4AB5" w:rsidRDefault="008E1096" w:rsidP="008E1096">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78B20865" w14:textId="77777777"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2F50DC1A" w14:textId="60F9020D"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4C188FC9" w14:textId="4BD09433"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6550F0A7" w14:textId="782CB9F4"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21/01189/FUL</w:t>
            </w:r>
          </w:p>
        </w:tc>
        <w:tc>
          <w:tcPr>
            <w:tcW w:w="0" w:type="auto"/>
            <w:shd w:val="clear" w:color="auto" w:fill="FFFFFF" w:themeFill="background1"/>
          </w:tcPr>
          <w:p w14:paraId="6D2D2050" w14:textId="4B7CA272"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39 Goddard Way</w:t>
            </w:r>
          </w:p>
        </w:tc>
        <w:tc>
          <w:tcPr>
            <w:tcW w:w="0" w:type="auto"/>
            <w:shd w:val="clear" w:color="auto" w:fill="FFFFFF" w:themeFill="background1"/>
          </w:tcPr>
          <w:p w14:paraId="773DA19C" w14:textId="75010D6C"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xml:space="preserve">Tuffley </w:t>
            </w:r>
          </w:p>
        </w:tc>
        <w:tc>
          <w:tcPr>
            <w:tcW w:w="0" w:type="auto"/>
            <w:shd w:val="clear" w:color="auto" w:fill="FFFFFF" w:themeFill="background1"/>
          </w:tcPr>
          <w:p w14:paraId="126DC3F4" w14:textId="11758466"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180318DF" w14:textId="0A5ED85F"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49DDE373" w14:textId="4FC11A8F" w:rsidR="008E1096" w:rsidRPr="005F4AB5" w:rsidRDefault="001A4C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1</w:t>
            </w:r>
          </w:p>
        </w:tc>
        <w:tc>
          <w:tcPr>
            <w:tcW w:w="0" w:type="auto"/>
            <w:shd w:val="clear" w:color="auto" w:fill="FFFFFF" w:themeFill="background1"/>
          </w:tcPr>
          <w:p w14:paraId="606B94B5" w14:textId="41758D92"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1A34CD1B" w14:textId="55C4E9D6"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76AD471E" w14:textId="7E4BA1BC"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708E4095" w14:textId="2EF1DE9D"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r>
      <w:tr w:rsidR="00104E16" w:rsidRPr="005F4AB5" w14:paraId="71F442B2"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8B9653F" w14:textId="1BD23C73" w:rsidR="008E1096" w:rsidRPr="005F4AB5" w:rsidRDefault="008E1096" w:rsidP="008E1096">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6B65CC09" w14:textId="77777777"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5B6E143A" w14:textId="3B516151"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290AD5F4" w14:textId="3C0F3791"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1FBEC629" w14:textId="66E6B309"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22/00011/FUL</w:t>
            </w:r>
          </w:p>
        </w:tc>
        <w:tc>
          <w:tcPr>
            <w:tcW w:w="0" w:type="auto"/>
            <w:shd w:val="clear" w:color="auto" w:fill="FFFFFF" w:themeFill="background1"/>
          </w:tcPr>
          <w:p w14:paraId="74C4E889" w14:textId="0770D818"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3 - 5 Worcester Street</w:t>
            </w:r>
          </w:p>
        </w:tc>
        <w:tc>
          <w:tcPr>
            <w:tcW w:w="0" w:type="auto"/>
            <w:shd w:val="clear" w:color="auto" w:fill="FFFFFF" w:themeFill="background1"/>
          </w:tcPr>
          <w:p w14:paraId="4119C136" w14:textId="446CDCF9"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Westgate</w:t>
            </w:r>
          </w:p>
        </w:tc>
        <w:tc>
          <w:tcPr>
            <w:tcW w:w="0" w:type="auto"/>
            <w:shd w:val="clear" w:color="auto" w:fill="FFFFFF" w:themeFill="background1"/>
          </w:tcPr>
          <w:p w14:paraId="14160EC2" w14:textId="64650775"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w:t>
            </w:r>
          </w:p>
        </w:tc>
        <w:tc>
          <w:tcPr>
            <w:tcW w:w="0" w:type="auto"/>
            <w:shd w:val="clear" w:color="auto" w:fill="FFFFFF" w:themeFill="background1"/>
          </w:tcPr>
          <w:p w14:paraId="2D40EFA9" w14:textId="739F7BB1"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2F36EF4D" w14:textId="208E1C5A" w:rsidR="008E1096" w:rsidRPr="005F4AB5" w:rsidRDefault="001A4C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2</w:t>
            </w:r>
          </w:p>
        </w:tc>
        <w:tc>
          <w:tcPr>
            <w:tcW w:w="0" w:type="auto"/>
            <w:shd w:val="clear" w:color="auto" w:fill="FFFFFF" w:themeFill="background1"/>
          </w:tcPr>
          <w:p w14:paraId="69872CB2" w14:textId="3108CE10"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01CA8CB3" w14:textId="39D6022C"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52844EF2" w14:textId="621E1AF6"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38D5824B" w14:textId="0FF60B4C"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w:t>
            </w:r>
          </w:p>
        </w:tc>
      </w:tr>
      <w:tr w:rsidR="00104E16" w:rsidRPr="005F4AB5" w14:paraId="267C6323"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2AFA37F" w14:textId="31541C21" w:rsidR="008E1096" w:rsidRPr="005F4AB5" w:rsidRDefault="008E1096" w:rsidP="008E1096">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02C7F702" w14:textId="77777777"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67200A4A" w14:textId="4C5BB31C"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533799D7" w14:textId="74F31987"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1715A899" w14:textId="3B6F419A"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22/00272/FUL</w:t>
            </w:r>
          </w:p>
        </w:tc>
        <w:tc>
          <w:tcPr>
            <w:tcW w:w="0" w:type="auto"/>
            <w:shd w:val="clear" w:color="auto" w:fill="FFFFFF" w:themeFill="background1"/>
          </w:tcPr>
          <w:p w14:paraId="34F1A0BE" w14:textId="0F1EBAAF"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55 Badminton Road</w:t>
            </w:r>
          </w:p>
        </w:tc>
        <w:tc>
          <w:tcPr>
            <w:tcW w:w="0" w:type="auto"/>
            <w:shd w:val="clear" w:color="auto" w:fill="FFFFFF" w:themeFill="background1"/>
          </w:tcPr>
          <w:p w14:paraId="34B0647A" w14:textId="1F66164C"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Matson &amp; Robinswood</w:t>
            </w:r>
          </w:p>
        </w:tc>
        <w:tc>
          <w:tcPr>
            <w:tcW w:w="0" w:type="auto"/>
            <w:shd w:val="clear" w:color="auto" w:fill="FFFFFF" w:themeFill="background1"/>
          </w:tcPr>
          <w:p w14:paraId="6E0B72C9" w14:textId="12DBFB82"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483F7A63" w14:textId="48592492"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4646FB0F" w14:textId="37F932FF" w:rsidR="008E1096" w:rsidRPr="005F4AB5" w:rsidRDefault="001A4C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1</w:t>
            </w:r>
          </w:p>
        </w:tc>
        <w:tc>
          <w:tcPr>
            <w:tcW w:w="0" w:type="auto"/>
            <w:shd w:val="clear" w:color="auto" w:fill="FFFFFF" w:themeFill="background1"/>
          </w:tcPr>
          <w:p w14:paraId="2C1A5926" w14:textId="23D642B4"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09DAD376" w14:textId="6DC9B9F8"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2AEF0260" w14:textId="6EF06357"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2E3AF2AB" w14:textId="6D1C296A"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r>
      <w:tr w:rsidR="00104E16" w:rsidRPr="005F4AB5" w14:paraId="4E57E779"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CF40777" w14:textId="2D275784" w:rsidR="008E1096" w:rsidRPr="005F4AB5" w:rsidRDefault="008E1096" w:rsidP="008E1096">
            <w:pPr>
              <w:widowControl/>
              <w:autoSpaceDE/>
              <w:autoSpaceDN/>
              <w:rPr>
                <w:rFonts w:eastAsia="Times New Roman"/>
                <w:sz w:val="20"/>
                <w:szCs w:val="20"/>
                <w:lang w:val="en-GB" w:eastAsia="en-GB"/>
              </w:rPr>
            </w:pPr>
            <w:r w:rsidRPr="005F4AB5">
              <w:rPr>
                <w:rFonts w:eastAsia="Times New Roman"/>
                <w:sz w:val="20"/>
                <w:szCs w:val="20"/>
                <w:lang w:val="en-GB" w:eastAsia="en-GB"/>
              </w:rPr>
              <w:lastRenderedPageBreak/>
              <w:t>D</w:t>
            </w:r>
          </w:p>
        </w:tc>
        <w:tc>
          <w:tcPr>
            <w:tcW w:w="0" w:type="auto"/>
            <w:shd w:val="clear" w:color="auto" w:fill="FFFFFF" w:themeFill="background1"/>
          </w:tcPr>
          <w:p w14:paraId="59552603" w14:textId="77777777"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08CF1A3B" w14:textId="32A030BC"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0C2DED2E" w14:textId="467A6880"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58F0A379" w14:textId="363488E9"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22/00307/FUL</w:t>
            </w:r>
          </w:p>
        </w:tc>
        <w:tc>
          <w:tcPr>
            <w:tcW w:w="0" w:type="auto"/>
            <w:shd w:val="clear" w:color="auto" w:fill="FFFFFF" w:themeFill="background1"/>
          </w:tcPr>
          <w:p w14:paraId="22BC47C7" w14:textId="28EC7443"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Field View, West Lodge Drive</w:t>
            </w:r>
          </w:p>
        </w:tc>
        <w:tc>
          <w:tcPr>
            <w:tcW w:w="0" w:type="auto"/>
            <w:shd w:val="clear" w:color="auto" w:fill="FFFFFF" w:themeFill="background1"/>
          </w:tcPr>
          <w:p w14:paraId="2C1A6992" w14:textId="2A723348"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Coney Hill</w:t>
            </w:r>
          </w:p>
        </w:tc>
        <w:tc>
          <w:tcPr>
            <w:tcW w:w="0" w:type="auto"/>
            <w:shd w:val="clear" w:color="auto" w:fill="FFFFFF" w:themeFill="background1"/>
          </w:tcPr>
          <w:p w14:paraId="0C50DC6F" w14:textId="1C4C6233"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w:t>
            </w:r>
          </w:p>
        </w:tc>
        <w:tc>
          <w:tcPr>
            <w:tcW w:w="0" w:type="auto"/>
            <w:shd w:val="clear" w:color="auto" w:fill="FFFFFF" w:themeFill="background1"/>
          </w:tcPr>
          <w:p w14:paraId="1525525D" w14:textId="1EDCC4D7"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w:t>
            </w:r>
          </w:p>
        </w:tc>
        <w:tc>
          <w:tcPr>
            <w:tcW w:w="0" w:type="auto"/>
            <w:shd w:val="clear" w:color="auto" w:fill="FFFFFF" w:themeFill="background1"/>
          </w:tcPr>
          <w:p w14:paraId="53D56A90" w14:textId="77FEBB79"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3D65F9AB" w14:textId="026AFC8F"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0C27E96B" w14:textId="5D67A721"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72326E9B" w14:textId="6C838B22"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13CA2E1E" w14:textId="6C6DBA4C"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w:t>
            </w:r>
          </w:p>
        </w:tc>
      </w:tr>
      <w:tr w:rsidR="00104E16" w:rsidRPr="005F4AB5" w14:paraId="594E3824"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D57FE1A" w14:textId="6107C5EC" w:rsidR="008E1096" w:rsidRPr="005F4AB5" w:rsidRDefault="008E1096" w:rsidP="008E1096">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0240DD42" w14:textId="77777777"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53BBE98F" w14:textId="0D74DD62"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6AFC030A" w14:textId="575DB91E"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610D8CA5" w14:textId="187535ED"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22/00434/FUL</w:t>
            </w:r>
          </w:p>
        </w:tc>
        <w:tc>
          <w:tcPr>
            <w:tcW w:w="0" w:type="auto"/>
            <w:shd w:val="clear" w:color="auto" w:fill="FFFFFF" w:themeFill="background1"/>
          </w:tcPr>
          <w:p w14:paraId="5FD97313" w14:textId="1234FA05"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 School Lane, Quedgeley</w:t>
            </w:r>
          </w:p>
        </w:tc>
        <w:tc>
          <w:tcPr>
            <w:tcW w:w="0" w:type="auto"/>
            <w:shd w:val="clear" w:color="auto" w:fill="FFFFFF" w:themeFill="background1"/>
          </w:tcPr>
          <w:p w14:paraId="342097A4" w14:textId="7A262A8B"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Quedgeley Fieldcourt</w:t>
            </w:r>
          </w:p>
        </w:tc>
        <w:tc>
          <w:tcPr>
            <w:tcW w:w="0" w:type="auto"/>
            <w:shd w:val="clear" w:color="auto" w:fill="FFFFFF" w:themeFill="background1"/>
          </w:tcPr>
          <w:p w14:paraId="61662C18" w14:textId="39600C4E"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w:t>
            </w:r>
          </w:p>
        </w:tc>
        <w:tc>
          <w:tcPr>
            <w:tcW w:w="0" w:type="auto"/>
            <w:shd w:val="clear" w:color="auto" w:fill="FFFFFF" w:themeFill="background1"/>
          </w:tcPr>
          <w:p w14:paraId="27B6736E" w14:textId="167830BE"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1D770D38" w14:textId="4CC35ECD" w:rsidR="008E1096" w:rsidRPr="005F4AB5" w:rsidRDefault="001A4C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2</w:t>
            </w:r>
          </w:p>
        </w:tc>
        <w:tc>
          <w:tcPr>
            <w:tcW w:w="0" w:type="auto"/>
            <w:shd w:val="clear" w:color="auto" w:fill="FFFFFF" w:themeFill="background1"/>
          </w:tcPr>
          <w:p w14:paraId="7B42D10A" w14:textId="7A541EF4"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4D5A7993" w14:textId="0834605E"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22F6C981" w14:textId="5C61B503"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709D302E" w14:textId="4890D9F0"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w:t>
            </w:r>
          </w:p>
        </w:tc>
      </w:tr>
      <w:tr w:rsidR="00104E16" w:rsidRPr="005F4AB5" w14:paraId="0EC74A0F"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8CC986B" w14:textId="41938D70" w:rsidR="008E1096" w:rsidRPr="005F4AB5" w:rsidRDefault="008E1096" w:rsidP="008E1096">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54A5DDD9" w14:textId="77777777"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4C000475" w14:textId="7A3CB7B4"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37B7D033" w14:textId="0660677C"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21BB0A3F" w14:textId="63A2926C"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22/00654/FUL</w:t>
            </w:r>
          </w:p>
        </w:tc>
        <w:tc>
          <w:tcPr>
            <w:tcW w:w="0" w:type="auto"/>
            <w:shd w:val="clear" w:color="auto" w:fill="FFFFFF" w:themeFill="background1"/>
          </w:tcPr>
          <w:p w14:paraId="1F84E4EF" w14:textId="156856D4"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Brand Mellor, Copner House, 43 Southgate Street</w:t>
            </w:r>
          </w:p>
        </w:tc>
        <w:tc>
          <w:tcPr>
            <w:tcW w:w="0" w:type="auto"/>
            <w:shd w:val="clear" w:color="auto" w:fill="FFFFFF" w:themeFill="background1"/>
          </w:tcPr>
          <w:p w14:paraId="484F7AB1" w14:textId="253B0B16"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Westgate</w:t>
            </w:r>
          </w:p>
        </w:tc>
        <w:tc>
          <w:tcPr>
            <w:tcW w:w="0" w:type="auto"/>
            <w:shd w:val="clear" w:color="auto" w:fill="FFFFFF" w:themeFill="background1"/>
          </w:tcPr>
          <w:p w14:paraId="2C22B849" w14:textId="34C4D4A5"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4B049625" w14:textId="1BF2AB30"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0A00EA2D" w14:textId="4ACF0A69"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602486EE" w14:textId="34CA2A8C"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74593658" w14:textId="20ECBAE2"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1D86BEAA" w14:textId="2B6A1D24"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554D3A6D" w14:textId="7805AE6A"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r>
      <w:tr w:rsidR="00104E16" w:rsidRPr="005F4AB5" w14:paraId="1AD4A81E"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E70C87D" w14:textId="3B6EB386" w:rsidR="008E1096" w:rsidRPr="005F4AB5" w:rsidRDefault="008E1096" w:rsidP="008E1096">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20E9ED5B" w14:textId="77777777"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17C82F3E" w14:textId="49436F16"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75C90A1A" w14:textId="3B096D38"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3C958A92" w14:textId="6ED82474"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22/00697/FUL</w:t>
            </w:r>
          </w:p>
        </w:tc>
        <w:tc>
          <w:tcPr>
            <w:tcW w:w="0" w:type="auto"/>
            <w:shd w:val="clear" w:color="auto" w:fill="FFFFFF" w:themeFill="background1"/>
          </w:tcPr>
          <w:p w14:paraId="4FF1D815" w14:textId="5ED7C1A7"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xml:space="preserve">28 Elmleaze </w:t>
            </w:r>
          </w:p>
        </w:tc>
        <w:tc>
          <w:tcPr>
            <w:tcW w:w="0" w:type="auto"/>
            <w:shd w:val="clear" w:color="auto" w:fill="FFFFFF" w:themeFill="background1"/>
          </w:tcPr>
          <w:p w14:paraId="0BFB7DB1" w14:textId="652516BE"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Elmbridge</w:t>
            </w:r>
          </w:p>
        </w:tc>
        <w:tc>
          <w:tcPr>
            <w:tcW w:w="0" w:type="auto"/>
            <w:shd w:val="clear" w:color="auto" w:fill="FFFFFF" w:themeFill="background1"/>
          </w:tcPr>
          <w:p w14:paraId="4A119D88" w14:textId="2016E2ED" w:rsidR="008E1096" w:rsidRPr="005F4AB5" w:rsidRDefault="0043052B"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lang w:val="en-GB" w:eastAsia="en-GB"/>
              </w:rPr>
              <w:t>1</w:t>
            </w:r>
          </w:p>
        </w:tc>
        <w:tc>
          <w:tcPr>
            <w:tcW w:w="0" w:type="auto"/>
            <w:shd w:val="clear" w:color="auto" w:fill="FFFFFF" w:themeFill="background1"/>
          </w:tcPr>
          <w:p w14:paraId="20D54705" w14:textId="479E12D3"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311251C6" w14:textId="5A73FF82" w:rsidR="008E1096" w:rsidRPr="005F4AB5" w:rsidRDefault="0043052B"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1</w:t>
            </w:r>
          </w:p>
        </w:tc>
        <w:tc>
          <w:tcPr>
            <w:tcW w:w="0" w:type="auto"/>
            <w:shd w:val="clear" w:color="auto" w:fill="FFFFFF" w:themeFill="background1"/>
          </w:tcPr>
          <w:p w14:paraId="26D7F34C" w14:textId="3FA0B059"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459D6055" w14:textId="129A23D8"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41857FC9" w14:textId="3E5DE352"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398412DE" w14:textId="2E68D754" w:rsidR="008E1096" w:rsidRPr="005F4AB5" w:rsidRDefault="0043052B"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lang w:val="en-GB" w:eastAsia="en-GB"/>
              </w:rPr>
              <w:t>1</w:t>
            </w:r>
          </w:p>
        </w:tc>
      </w:tr>
      <w:tr w:rsidR="00104E16" w:rsidRPr="005F4AB5" w14:paraId="5FAF0006"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B4235BA" w14:textId="73AFC918" w:rsidR="008E1096" w:rsidRPr="005F4AB5" w:rsidRDefault="008E1096" w:rsidP="008E1096">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39C2900F" w14:textId="77777777"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66140E90" w14:textId="781D707A"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2A7F9D08" w14:textId="1C710124"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7CB7F2E6" w14:textId="74FB7391"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22/01067/FUL</w:t>
            </w:r>
          </w:p>
        </w:tc>
        <w:tc>
          <w:tcPr>
            <w:tcW w:w="0" w:type="auto"/>
            <w:shd w:val="clear" w:color="auto" w:fill="FFFFFF" w:themeFill="background1"/>
          </w:tcPr>
          <w:p w14:paraId="37EE6E32" w14:textId="162D1E2E"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xml:space="preserve">1 - 3 Eastgate Street </w:t>
            </w:r>
          </w:p>
        </w:tc>
        <w:tc>
          <w:tcPr>
            <w:tcW w:w="0" w:type="auto"/>
            <w:shd w:val="clear" w:color="auto" w:fill="FFFFFF" w:themeFill="background1"/>
          </w:tcPr>
          <w:p w14:paraId="51064BC1" w14:textId="5AE6695D"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Westgate</w:t>
            </w:r>
          </w:p>
        </w:tc>
        <w:tc>
          <w:tcPr>
            <w:tcW w:w="0" w:type="auto"/>
            <w:shd w:val="clear" w:color="auto" w:fill="FFFFFF" w:themeFill="background1"/>
          </w:tcPr>
          <w:p w14:paraId="799511E9" w14:textId="7292B4CA"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w:t>
            </w:r>
          </w:p>
        </w:tc>
        <w:tc>
          <w:tcPr>
            <w:tcW w:w="0" w:type="auto"/>
            <w:shd w:val="clear" w:color="auto" w:fill="FFFFFF" w:themeFill="background1"/>
          </w:tcPr>
          <w:p w14:paraId="66DD1FF0" w14:textId="1644FFF2"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4C1F239C" w14:textId="1846B807" w:rsidR="008E1096" w:rsidRPr="005F4AB5" w:rsidRDefault="00BE40A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2</w:t>
            </w:r>
          </w:p>
        </w:tc>
        <w:tc>
          <w:tcPr>
            <w:tcW w:w="0" w:type="auto"/>
            <w:shd w:val="clear" w:color="auto" w:fill="FFFFFF" w:themeFill="background1"/>
          </w:tcPr>
          <w:p w14:paraId="61A60750" w14:textId="52319665"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39737AA1" w14:textId="53637FB3"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1E3441EA" w14:textId="2B26DC28"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55D1762A" w14:textId="7EDE6745"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w:t>
            </w:r>
          </w:p>
        </w:tc>
      </w:tr>
      <w:tr w:rsidR="00104E16" w:rsidRPr="005F4AB5" w14:paraId="1409B542"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7A0CD0E" w14:textId="36458FA1" w:rsidR="008E1096" w:rsidRPr="005F4AB5" w:rsidRDefault="008E1096" w:rsidP="008E1096">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25A3ED41" w14:textId="77777777"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4EE77AFC" w14:textId="1CD1A152"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2165FAC7" w14:textId="31267DF0"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605266FA" w14:textId="6D8D8493"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22/01081/FUL</w:t>
            </w:r>
          </w:p>
        </w:tc>
        <w:tc>
          <w:tcPr>
            <w:tcW w:w="0" w:type="auto"/>
            <w:shd w:val="clear" w:color="auto" w:fill="FFFFFF" w:themeFill="background1"/>
          </w:tcPr>
          <w:p w14:paraId="544577FC" w14:textId="5BEB7D83"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Land at 10 Sudgrove Park</w:t>
            </w:r>
          </w:p>
        </w:tc>
        <w:tc>
          <w:tcPr>
            <w:tcW w:w="0" w:type="auto"/>
            <w:shd w:val="clear" w:color="auto" w:fill="FFFFFF" w:themeFill="background1"/>
          </w:tcPr>
          <w:p w14:paraId="0818DF5C" w14:textId="5464F5AB"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Abbeymead</w:t>
            </w:r>
          </w:p>
        </w:tc>
        <w:tc>
          <w:tcPr>
            <w:tcW w:w="0" w:type="auto"/>
            <w:shd w:val="clear" w:color="auto" w:fill="FFFFFF" w:themeFill="background1"/>
          </w:tcPr>
          <w:p w14:paraId="3D3D739C" w14:textId="012E931C"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7989016F" w14:textId="701BB1D7"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1808F065" w14:textId="0CD8B41D"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29FB09EA" w14:textId="70827E3F"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1EB82AD4" w14:textId="59321C30"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1A4FD22C" w14:textId="72704D74"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033E9C95" w14:textId="352CC830"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r>
      <w:tr w:rsidR="00104E16" w:rsidRPr="005F4AB5" w14:paraId="67FC0BFA"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37B5023" w14:textId="4A888552" w:rsidR="008E1096" w:rsidRPr="005F4AB5" w:rsidRDefault="008E1096" w:rsidP="008E1096">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726F72FA" w14:textId="77777777"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3CBE312C" w14:textId="389AD902"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67713262" w14:textId="2783E2B1"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7CA6CBCA" w14:textId="6923E1D4"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22/01111/FUL</w:t>
            </w:r>
          </w:p>
        </w:tc>
        <w:tc>
          <w:tcPr>
            <w:tcW w:w="0" w:type="auto"/>
            <w:shd w:val="clear" w:color="auto" w:fill="FFFFFF" w:themeFill="background1"/>
          </w:tcPr>
          <w:p w14:paraId="25E4FDB2" w14:textId="743AEA45"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47 Central Road</w:t>
            </w:r>
          </w:p>
        </w:tc>
        <w:tc>
          <w:tcPr>
            <w:tcW w:w="0" w:type="auto"/>
            <w:shd w:val="clear" w:color="auto" w:fill="FFFFFF" w:themeFill="background1"/>
          </w:tcPr>
          <w:p w14:paraId="5CE54C23" w14:textId="403175A4"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Moreland</w:t>
            </w:r>
          </w:p>
        </w:tc>
        <w:tc>
          <w:tcPr>
            <w:tcW w:w="0" w:type="auto"/>
            <w:shd w:val="clear" w:color="auto" w:fill="FFFFFF" w:themeFill="background1"/>
          </w:tcPr>
          <w:p w14:paraId="63A6B693" w14:textId="72CE5809"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4</w:t>
            </w:r>
          </w:p>
        </w:tc>
        <w:tc>
          <w:tcPr>
            <w:tcW w:w="0" w:type="auto"/>
            <w:shd w:val="clear" w:color="auto" w:fill="FFFFFF" w:themeFill="background1"/>
          </w:tcPr>
          <w:p w14:paraId="0DB719C5" w14:textId="71827785"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4464516A" w14:textId="09CAA862" w:rsidR="008E1096" w:rsidRPr="005F4AB5" w:rsidRDefault="00BE40A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4</w:t>
            </w:r>
          </w:p>
        </w:tc>
        <w:tc>
          <w:tcPr>
            <w:tcW w:w="0" w:type="auto"/>
            <w:shd w:val="clear" w:color="auto" w:fill="FFFFFF" w:themeFill="background1"/>
          </w:tcPr>
          <w:p w14:paraId="579427D9" w14:textId="2B22CE68"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69C98F97" w14:textId="715543BF"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749672F0" w14:textId="6F14D9AA"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4AC44E48" w14:textId="1208B8AD"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4</w:t>
            </w:r>
          </w:p>
        </w:tc>
      </w:tr>
      <w:tr w:rsidR="00104E16" w:rsidRPr="005F4AB5" w14:paraId="2583CFBF"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B645E45" w14:textId="099C664A" w:rsidR="008E1096" w:rsidRPr="005F4AB5" w:rsidRDefault="008E1096" w:rsidP="008E1096">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500CCB05" w14:textId="77777777"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64815ED9" w14:textId="15D56A1E"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5220863E" w14:textId="3754B892"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44CAE971" w14:textId="209B678C"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23/00065/LAW</w:t>
            </w:r>
          </w:p>
        </w:tc>
        <w:tc>
          <w:tcPr>
            <w:tcW w:w="0" w:type="auto"/>
            <w:shd w:val="clear" w:color="auto" w:fill="FFFFFF" w:themeFill="background1"/>
          </w:tcPr>
          <w:p w14:paraId="376A63A0" w14:textId="133A578C"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95 The Wheatridge East</w:t>
            </w:r>
          </w:p>
        </w:tc>
        <w:tc>
          <w:tcPr>
            <w:tcW w:w="0" w:type="auto"/>
            <w:shd w:val="clear" w:color="auto" w:fill="FFFFFF" w:themeFill="background1"/>
          </w:tcPr>
          <w:p w14:paraId="077CC739" w14:textId="447AEA39"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Abbeydale</w:t>
            </w:r>
          </w:p>
        </w:tc>
        <w:tc>
          <w:tcPr>
            <w:tcW w:w="0" w:type="auto"/>
            <w:shd w:val="clear" w:color="auto" w:fill="FFFFFF" w:themeFill="background1"/>
          </w:tcPr>
          <w:p w14:paraId="58F37DDE" w14:textId="71143A51"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10309547" w14:textId="3530113E"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32DB804A" w14:textId="4FD3414F"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29D552E7" w14:textId="2ED7DA95"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77DA2E59" w14:textId="767D5DDF"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083102A6" w14:textId="42871C9D"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5B3F4696" w14:textId="73A17327"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r>
      <w:tr w:rsidR="00104E16" w:rsidRPr="005F4AB5" w14:paraId="08E93905"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CC59167" w14:textId="4839914E" w:rsidR="008E1096" w:rsidRPr="005F4AB5" w:rsidRDefault="008E1096" w:rsidP="008E1096">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63883620" w14:textId="77777777"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5267ED0A" w14:textId="7B914CD4"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77FD838D" w14:textId="103D4DBD"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53ACC024" w14:textId="04E01E0F"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23/00160/LAW</w:t>
            </w:r>
          </w:p>
        </w:tc>
        <w:tc>
          <w:tcPr>
            <w:tcW w:w="0" w:type="auto"/>
            <w:shd w:val="clear" w:color="auto" w:fill="FFFFFF" w:themeFill="background1"/>
          </w:tcPr>
          <w:p w14:paraId="2554121A" w14:textId="403D60B7"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9 Reservoir Road</w:t>
            </w:r>
          </w:p>
        </w:tc>
        <w:tc>
          <w:tcPr>
            <w:tcW w:w="0" w:type="auto"/>
            <w:shd w:val="clear" w:color="auto" w:fill="FFFFFF" w:themeFill="background1"/>
          </w:tcPr>
          <w:p w14:paraId="25472DF0" w14:textId="3A7857C9"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Matson &amp; Robinswood</w:t>
            </w:r>
          </w:p>
        </w:tc>
        <w:tc>
          <w:tcPr>
            <w:tcW w:w="0" w:type="auto"/>
            <w:shd w:val="clear" w:color="auto" w:fill="FFFFFF" w:themeFill="background1"/>
          </w:tcPr>
          <w:p w14:paraId="36BA1665" w14:textId="300E3421"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1BFA021A" w14:textId="2B58550A"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612F5804" w14:textId="54617C64"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7050709C" w14:textId="3AEDDB80"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58FD04BC" w14:textId="520A88CD"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7DAB8812" w14:textId="792F0F5D"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38900A55" w14:textId="13CB82C0"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0</w:t>
            </w:r>
          </w:p>
        </w:tc>
      </w:tr>
      <w:tr w:rsidR="00104E16" w:rsidRPr="005F4AB5" w14:paraId="6196EE2F"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63D3BFF" w14:textId="1ADC14B8" w:rsidR="008E1096" w:rsidRPr="005F4AB5" w:rsidRDefault="008E1096" w:rsidP="008E1096">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08138E25" w14:textId="77777777"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263394E8" w14:textId="7140D6DD"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23E45815" w14:textId="5F7FC9AE"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0A13E244" w14:textId="24EDE1C5"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23/00340/JPA</w:t>
            </w:r>
          </w:p>
        </w:tc>
        <w:tc>
          <w:tcPr>
            <w:tcW w:w="0" w:type="auto"/>
            <w:shd w:val="clear" w:color="auto" w:fill="FFFFFF" w:themeFill="background1"/>
          </w:tcPr>
          <w:p w14:paraId="37DC0CDE" w14:textId="0DB41191"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43 Park Road</w:t>
            </w:r>
          </w:p>
        </w:tc>
        <w:tc>
          <w:tcPr>
            <w:tcW w:w="0" w:type="auto"/>
            <w:shd w:val="clear" w:color="auto" w:fill="FFFFFF" w:themeFill="background1"/>
          </w:tcPr>
          <w:p w14:paraId="0FE6630A" w14:textId="35CC9402"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Westgate</w:t>
            </w:r>
          </w:p>
        </w:tc>
        <w:tc>
          <w:tcPr>
            <w:tcW w:w="0" w:type="auto"/>
            <w:shd w:val="clear" w:color="auto" w:fill="FFFFFF" w:themeFill="background1"/>
          </w:tcPr>
          <w:p w14:paraId="14722790" w14:textId="2BF2B5D3"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7A648A3D" w14:textId="296C3299"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7E183892" w14:textId="1D6D5C65"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023F4755" w14:textId="077E610B"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50A038F5" w14:textId="165D8803"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2DB5E7DF" w14:textId="1D37AA97"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368D30D3" w14:textId="0163C2AA"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r>
      <w:tr w:rsidR="00104E16" w:rsidRPr="005F4AB5" w14:paraId="08146856"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63C719D" w14:textId="4468F98B" w:rsidR="008E1096" w:rsidRPr="005F4AB5" w:rsidRDefault="008E1096" w:rsidP="008E1096">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0A3A2177" w14:textId="77777777"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07DF8D7F" w14:textId="73228F25"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2644058C" w14:textId="0FDA7222"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1A959F7B" w14:textId="54FAFE82"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23/00570/LAW</w:t>
            </w:r>
          </w:p>
        </w:tc>
        <w:tc>
          <w:tcPr>
            <w:tcW w:w="0" w:type="auto"/>
            <w:shd w:val="clear" w:color="auto" w:fill="FFFFFF" w:themeFill="background1"/>
          </w:tcPr>
          <w:p w14:paraId="7914006E" w14:textId="5012AD49"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27 Reservoir Road</w:t>
            </w:r>
          </w:p>
        </w:tc>
        <w:tc>
          <w:tcPr>
            <w:tcW w:w="0" w:type="auto"/>
            <w:shd w:val="clear" w:color="auto" w:fill="FFFFFF" w:themeFill="background1"/>
          </w:tcPr>
          <w:p w14:paraId="0F61787F" w14:textId="0456F057"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Matson &amp; Robinswood</w:t>
            </w:r>
          </w:p>
        </w:tc>
        <w:tc>
          <w:tcPr>
            <w:tcW w:w="0" w:type="auto"/>
            <w:shd w:val="clear" w:color="auto" w:fill="FFFFFF" w:themeFill="background1"/>
          </w:tcPr>
          <w:p w14:paraId="29584F6B" w14:textId="19361F58"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3BEB86F3" w14:textId="36DDDB65"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55A4F244" w14:textId="7B9831FA"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33EEFA50" w14:textId="18C23CD5"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7205A035" w14:textId="6EA47857"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5CE00697" w14:textId="36A98DF4"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1969BA15" w14:textId="6B2FAF19"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r>
      <w:tr w:rsidR="00104E16" w:rsidRPr="005F4AB5" w14:paraId="68102BFB"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1F36145" w14:textId="4A594736" w:rsidR="008E1096" w:rsidRPr="005F4AB5" w:rsidRDefault="008E1096" w:rsidP="008E1096">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5E0DB9AF" w14:textId="77777777"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40E7461E" w14:textId="4F994AF6"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0379D3A1" w14:textId="46DD97C8"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73B87C16" w14:textId="3C02A70E"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23/00982/LAW</w:t>
            </w:r>
          </w:p>
        </w:tc>
        <w:tc>
          <w:tcPr>
            <w:tcW w:w="0" w:type="auto"/>
            <w:shd w:val="clear" w:color="auto" w:fill="FFFFFF" w:themeFill="background1"/>
          </w:tcPr>
          <w:p w14:paraId="077D4577" w14:textId="778E998A"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 Ennerdale Avenue</w:t>
            </w:r>
          </w:p>
        </w:tc>
        <w:tc>
          <w:tcPr>
            <w:tcW w:w="0" w:type="auto"/>
            <w:shd w:val="clear" w:color="auto" w:fill="FFFFFF" w:themeFill="background1"/>
          </w:tcPr>
          <w:p w14:paraId="6BDEA83D" w14:textId="164EE464"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Longlevens</w:t>
            </w:r>
          </w:p>
        </w:tc>
        <w:tc>
          <w:tcPr>
            <w:tcW w:w="0" w:type="auto"/>
            <w:shd w:val="clear" w:color="auto" w:fill="FFFFFF" w:themeFill="background1"/>
          </w:tcPr>
          <w:p w14:paraId="57E92D56" w14:textId="4C5D3594"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277D1BC7" w14:textId="411059F8"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059F6B7A" w14:textId="21B7964B"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4FEAD40D" w14:textId="1B0D8E1F"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7ED5E16B" w14:textId="7211EAB0"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6E35B8E2" w14:textId="34656151"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1E02AF6A" w14:textId="1F5D4CE5"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0</w:t>
            </w:r>
          </w:p>
        </w:tc>
      </w:tr>
      <w:tr w:rsidR="00104E16" w:rsidRPr="005F4AB5" w14:paraId="65169F1B"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F74180C" w14:textId="588D424D" w:rsidR="008E1096" w:rsidRPr="005F4AB5" w:rsidRDefault="008E1096" w:rsidP="008E1096">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3E3575DD" w14:textId="77777777"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33CB525C" w14:textId="23F77CB9"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1A2370A3" w14:textId="68788C16"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5CA4CF31" w14:textId="4CCF9828"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24/00056/FUL</w:t>
            </w:r>
          </w:p>
        </w:tc>
        <w:tc>
          <w:tcPr>
            <w:tcW w:w="0" w:type="auto"/>
            <w:shd w:val="clear" w:color="auto" w:fill="FFFFFF" w:themeFill="background1"/>
          </w:tcPr>
          <w:p w14:paraId="39AD6A8F" w14:textId="34A54309"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387 Painswick Road</w:t>
            </w:r>
          </w:p>
        </w:tc>
        <w:tc>
          <w:tcPr>
            <w:tcW w:w="0" w:type="auto"/>
            <w:shd w:val="clear" w:color="auto" w:fill="FFFFFF" w:themeFill="background1"/>
          </w:tcPr>
          <w:p w14:paraId="4CDDCF08" w14:textId="6B9C9F4D"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Abbeydale</w:t>
            </w:r>
          </w:p>
        </w:tc>
        <w:tc>
          <w:tcPr>
            <w:tcW w:w="0" w:type="auto"/>
            <w:shd w:val="clear" w:color="auto" w:fill="FFFFFF" w:themeFill="background1"/>
          </w:tcPr>
          <w:p w14:paraId="745C5300" w14:textId="2EDD5AF7"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14E912D3" w14:textId="5C0A3AD0"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4C83EAD0" w14:textId="3053322D"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7BD4164F" w14:textId="02B8A259"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1268D25B" w14:textId="0038D414"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5A5AB80F" w14:textId="0FB8DDBD"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655410D5" w14:textId="595BA11E"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r>
      <w:tr w:rsidR="00104E16" w:rsidRPr="005F4AB5" w14:paraId="32D14F70"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FE2C5F2" w14:textId="73A321BF" w:rsidR="008E1096" w:rsidRPr="005F4AB5" w:rsidRDefault="008E1096" w:rsidP="008E1096">
            <w:pPr>
              <w:widowControl/>
              <w:autoSpaceDE/>
              <w:autoSpaceDN/>
              <w:rPr>
                <w:rFonts w:eastAsia="Times New Roman"/>
                <w:sz w:val="20"/>
                <w:szCs w:val="20"/>
                <w:lang w:val="en-GB" w:eastAsia="en-GB"/>
              </w:rPr>
            </w:pPr>
            <w:r w:rsidRPr="005F4AB5">
              <w:rPr>
                <w:rFonts w:eastAsia="Times New Roman"/>
                <w:sz w:val="20"/>
                <w:szCs w:val="20"/>
                <w:lang w:val="en-GB" w:eastAsia="en-GB"/>
              </w:rPr>
              <w:lastRenderedPageBreak/>
              <w:t>D</w:t>
            </w:r>
          </w:p>
        </w:tc>
        <w:tc>
          <w:tcPr>
            <w:tcW w:w="0" w:type="auto"/>
            <w:shd w:val="clear" w:color="auto" w:fill="FFFFFF" w:themeFill="background1"/>
          </w:tcPr>
          <w:p w14:paraId="5452A2F5" w14:textId="77777777"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29D0A769" w14:textId="0142738A"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44B34076" w14:textId="6D572323"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2BBCB620" w14:textId="530D08BA"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24/00232/FUL</w:t>
            </w:r>
          </w:p>
        </w:tc>
        <w:tc>
          <w:tcPr>
            <w:tcW w:w="0" w:type="auto"/>
            <w:shd w:val="clear" w:color="auto" w:fill="FFFFFF" w:themeFill="background1"/>
          </w:tcPr>
          <w:p w14:paraId="01A3B981" w14:textId="43098C82"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40 Sims Lane</w:t>
            </w:r>
          </w:p>
        </w:tc>
        <w:tc>
          <w:tcPr>
            <w:tcW w:w="0" w:type="auto"/>
            <w:shd w:val="clear" w:color="auto" w:fill="FFFFFF" w:themeFill="background1"/>
          </w:tcPr>
          <w:p w14:paraId="01102F1B" w14:textId="7298380B"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Quedgeley Severnvale</w:t>
            </w:r>
          </w:p>
        </w:tc>
        <w:tc>
          <w:tcPr>
            <w:tcW w:w="0" w:type="auto"/>
            <w:shd w:val="clear" w:color="auto" w:fill="FFFFFF" w:themeFill="background1"/>
          </w:tcPr>
          <w:p w14:paraId="64EBDCD9" w14:textId="7CF7744B"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47846575" w14:textId="0F7F372D"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3D3504F5" w14:textId="421F62EB"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360C0179" w14:textId="4922A13F"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05A149F7" w14:textId="487918B0"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179F3564" w14:textId="0497CBFB"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51CFFAB2" w14:textId="2B40D105"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r>
      <w:tr w:rsidR="00104E16" w:rsidRPr="005F4AB5" w14:paraId="3F031BE2"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2E14E30" w14:textId="42EBE3C9" w:rsidR="008E1096" w:rsidRPr="005F4AB5" w:rsidRDefault="008E1096" w:rsidP="008E1096">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6E8E74F3" w14:textId="77777777"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38813A64" w14:textId="6A2993CC"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50A9D596" w14:textId="5817ED52"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1E73AB5E" w14:textId="3614AB60"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24/00385/PRIOR</w:t>
            </w:r>
          </w:p>
        </w:tc>
        <w:tc>
          <w:tcPr>
            <w:tcW w:w="0" w:type="auto"/>
            <w:shd w:val="clear" w:color="auto" w:fill="FFFFFF" w:themeFill="background1"/>
          </w:tcPr>
          <w:p w14:paraId="568200C0" w14:textId="606021B4"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24A Jersey Road</w:t>
            </w:r>
          </w:p>
        </w:tc>
        <w:tc>
          <w:tcPr>
            <w:tcW w:w="0" w:type="auto"/>
            <w:shd w:val="clear" w:color="auto" w:fill="FFFFFF" w:themeFill="background1"/>
          </w:tcPr>
          <w:p w14:paraId="5463AA27" w14:textId="54AAED90"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xml:space="preserve">Barton &amp; Tredworth </w:t>
            </w:r>
          </w:p>
        </w:tc>
        <w:tc>
          <w:tcPr>
            <w:tcW w:w="0" w:type="auto"/>
            <w:shd w:val="clear" w:color="auto" w:fill="FFFFFF" w:themeFill="background1"/>
          </w:tcPr>
          <w:p w14:paraId="0E83834C" w14:textId="3C3554C9"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w:t>
            </w:r>
          </w:p>
        </w:tc>
        <w:tc>
          <w:tcPr>
            <w:tcW w:w="0" w:type="auto"/>
            <w:shd w:val="clear" w:color="auto" w:fill="FFFFFF" w:themeFill="background1"/>
          </w:tcPr>
          <w:p w14:paraId="6650A804" w14:textId="1E746542"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3F4A7E24" w14:textId="2DAF0F59" w:rsidR="008E1096" w:rsidRPr="005F4AB5" w:rsidRDefault="00BE40A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2</w:t>
            </w:r>
          </w:p>
        </w:tc>
        <w:tc>
          <w:tcPr>
            <w:tcW w:w="0" w:type="auto"/>
            <w:shd w:val="clear" w:color="auto" w:fill="FFFFFF" w:themeFill="background1"/>
          </w:tcPr>
          <w:p w14:paraId="27D5F901" w14:textId="5B28D4D0"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56BE719B" w14:textId="68B4EBB5"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631923C5" w14:textId="7FC35B70"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567E1BF3" w14:textId="709F6D7A"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w:t>
            </w:r>
          </w:p>
        </w:tc>
      </w:tr>
      <w:tr w:rsidR="00104E16" w:rsidRPr="005F4AB5" w14:paraId="383E635A"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5518870" w14:textId="28F8586E" w:rsidR="008E1096" w:rsidRPr="005F4AB5" w:rsidRDefault="008E1096" w:rsidP="008E1096">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5A652E2E" w14:textId="77777777"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53EC1AA3" w14:textId="76A979B8"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23C6B310" w14:textId="5EAF6DF8"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18D02A1B" w14:textId="51FF599E"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24/00515/COU</w:t>
            </w:r>
          </w:p>
        </w:tc>
        <w:tc>
          <w:tcPr>
            <w:tcW w:w="0" w:type="auto"/>
            <w:shd w:val="clear" w:color="auto" w:fill="FFFFFF" w:themeFill="background1"/>
          </w:tcPr>
          <w:p w14:paraId="04EC179E" w14:textId="62F9E55C"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xml:space="preserve">256 Barton Street </w:t>
            </w:r>
          </w:p>
        </w:tc>
        <w:tc>
          <w:tcPr>
            <w:tcW w:w="0" w:type="auto"/>
            <w:shd w:val="clear" w:color="auto" w:fill="FFFFFF" w:themeFill="background1"/>
          </w:tcPr>
          <w:p w14:paraId="7052B8A6" w14:textId="3C6898FC"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xml:space="preserve">Barton &amp; Tredworth </w:t>
            </w:r>
          </w:p>
        </w:tc>
        <w:tc>
          <w:tcPr>
            <w:tcW w:w="0" w:type="auto"/>
            <w:shd w:val="clear" w:color="auto" w:fill="FFFFFF" w:themeFill="background1"/>
          </w:tcPr>
          <w:p w14:paraId="3082B79C" w14:textId="65028074"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21CAA687" w14:textId="725D5962"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76634E20" w14:textId="23C3E617" w:rsidR="008E1096" w:rsidRPr="005F4AB5" w:rsidRDefault="00BE40A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1</w:t>
            </w:r>
          </w:p>
        </w:tc>
        <w:tc>
          <w:tcPr>
            <w:tcW w:w="0" w:type="auto"/>
            <w:shd w:val="clear" w:color="auto" w:fill="FFFFFF" w:themeFill="background1"/>
          </w:tcPr>
          <w:p w14:paraId="5AB90D98" w14:textId="28C2882B"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084B76AF" w14:textId="49EEB4F5"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5214D1B8" w14:textId="784330F5"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03BE57E3" w14:textId="2F37D828"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r>
      <w:tr w:rsidR="00104E16" w:rsidRPr="005F4AB5" w14:paraId="7F3C3FE7"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C763CE6" w14:textId="0B1AB31D" w:rsidR="008E1096" w:rsidRPr="005F4AB5" w:rsidRDefault="008E1096" w:rsidP="008E1096">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1A562838" w14:textId="77777777"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6F0B2F26" w14:textId="7651A729"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1B1CBEB7" w14:textId="3586C04A"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38CD3A56" w14:textId="4C1DD0C6"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24/00550/FUL</w:t>
            </w:r>
          </w:p>
        </w:tc>
        <w:tc>
          <w:tcPr>
            <w:tcW w:w="0" w:type="auto"/>
            <w:shd w:val="clear" w:color="auto" w:fill="FFFFFF" w:themeFill="background1"/>
          </w:tcPr>
          <w:p w14:paraId="3443D680" w14:textId="27E0D4A3"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25 &amp; 27 Westgate Street</w:t>
            </w:r>
          </w:p>
        </w:tc>
        <w:tc>
          <w:tcPr>
            <w:tcW w:w="0" w:type="auto"/>
            <w:shd w:val="clear" w:color="auto" w:fill="FFFFFF" w:themeFill="background1"/>
          </w:tcPr>
          <w:p w14:paraId="2988BD80" w14:textId="13C1D610"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xml:space="preserve">Westgate </w:t>
            </w:r>
          </w:p>
        </w:tc>
        <w:tc>
          <w:tcPr>
            <w:tcW w:w="0" w:type="auto"/>
            <w:shd w:val="clear" w:color="auto" w:fill="FFFFFF" w:themeFill="background1"/>
          </w:tcPr>
          <w:p w14:paraId="7DDA9889" w14:textId="2C06CF63"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461AB316" w14:textId="023AFE97"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09551B74" w14:textId="2805A2F2" w:rsidR="008E1096" w:rsidRPr="005F4AB5" w:rsidRDefault="00BE40A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1</w:t>
            </w:r>
          </w:p>
        </w:tc>
        <w:tc>
          <w:tcPr>
            <w:tcW w:w="0" w:type="auto"/>
            <w:shd w:val="clear" w:color="auto" w:fill="FFFFFF" w:themeFill="background1"/>
          </w:tcPr>
          <w:p w14:paraId="210AD70E" w14:textId="2254C2D1"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37E90A7B" w14:textId="65A104F3"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0243D4B9" w14:textId="6D47D855"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7F446DFB" w14:textId="0C6C53AC"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r>
      <w:tr w:rsidR="00104E16" w:rsidRPr="005F4AB5" w14:paraId="7A19DA67"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56C6C4A" w14:textId="0203C5A5" w:rsidR="008E1096" w:rsidRPr="005F4AB5" w:rsidRDefault="008E1096" w:rsidP="008E1096">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65C1F486" w14:textId="77777777"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6B8337F5" w14:textId="5CCEB19D"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2406B37B" w14:textId="0080CB53"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30204ABA" w14:textId="2EDF159F"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24/00810/FUL</w:t>
            </w:r>
          </w:p>
        </w:tc>
        <w:tc>
          <w:tcPr>
            <w:tcW w:w="0" w:type="auto"/>
            <w:shd w:val="clear" w:color="auto" w:fill="FFFFFF" w:themeFill="background1"/>
          </w:tcPr>
          <w:p w14:paraId="61DFA1A0" w14:textId="774A3F5D"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47 High Street</w:t>
            </w:r>
          </w:p>
        </w:tc>
        <w:tc>
          <w:tcPr>
            <w:tcW w:w="0" w:type="auto"/>
            <w:shd w:val="clear" w:color="auto" w:fill="FFFFFF" w:themeFill="background1"/>
          </w:tcPr>
          <w:p w14:paraId="5B487215" w14:textId="0E3DE77A"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xml:space="preserve">Barton &amp; Tredworth </w:t>
            </w:r>
          </w:p>
        </w:tc>
        <w:tc>
          <w:tcPr>
            <w:tcW w:w="0" w:type="auto"/>
            <w:shd w:val="clear" w:color="auto" w:fill="FFFFFF" w:themeFill="background1"/>
          </w:tcPr>
          <w:p w14:paraId="054D6C3F" w14:textId="1C4EDC5D"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063E4D7C" w14:textId="2C458F3E"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1F2F420D" w14:textId="36645AAB" w:rsidR="008E1096" w:rsidRPr="005F4AB5" w:rsidRDefault="00BE40A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1</w:t>
            </w:r>
          </w:p>
        </w:tc>
        <w:tc>
          <w:tcPr>
            <w:tcW w:w="0" w:type="auto"/>
            <w:shd w:val="clear" w:color="auto" w:fill="FFFFFF" w:themeFill="background1"/>
          </w:tcPr>
          <w:p w14:paraId="7305A272" w14:textId="6D2975CB"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3A35D252" w14:textId="4D074B9A"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3DD264A3" w14:textId="56221F86"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4B6B9AAE" w14:textId="32D2987F"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r>
      <w:tr w:rsidR="00104E16" w:rsidRPr="005F4AB5" w14:paraId="3B122C72"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CDC8F6A" w14:textId="6804E938" w:rsidR="008E1096" w:rsidRPr="005F4AB5" w:rsidRDefault="008E1096" w:rsidP="008E1096">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1F7400C8" w14:textId="77777777"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4476A1DC" w14:textId="404ECC20"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162C5249" w14:textId="29F9CECE"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3D5D7A6F" w14:textId="3F4D387F"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24/00880/FUL</w:t>
            </w:r>
          </w:p>
        </w:tc>
        <w:tc>
          <w:tcPr>
            <w:tcW w:w="0" w:type="auto"/>
            <w:shd w:val="clear" w:color="auto" w:fill="FFFFFF" w:themeFill="background1"/>
          </w:tcPr>
          <w:p w14:paraId="462ECBD7" w14:textId="766DBDEE"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211 Stroud Road</w:t>
            </w:r>
          </w:p>
        </w:tc>
        <w:tc>
          <w:tcPr>
            <w:tcW w:w="0" w:type="auto"/>
            <w:shd w:val="clear" w:color="auto" w:fill="FFFFFF" w:themeFill="background1"/>
          </w:tcPr>
          <w:p w14:paraId="0C4ED6F1" w14:textId="77E5E79E"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xml:space="preserve">Moreland </w:t>
            </w:r>
          </w:p>
        </w:tc>
        <w:tc>
          <w:tcPr>
            <w:tcW w:w="0" w:type="auto"/>
            <w:shd w:val="clear" w:color="auto" w:fill="FFFFFF" w:themeFill="background1"/>
          </w:tcPr>
          <w:p w14:paraId="47989B3D" w14:textId="186895A2"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44885C22" w14:textId="1CD3FAEB"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3E43708C" w14:textId="3353FB74"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3C418FCA" w14:textId="6A98D62B"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3A36058F" w14:textId="2BEC3D0C"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45801C3C" w14:textId="76204CF1"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5EC8091B" w14:textId="5430FDA7"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0</w:t>
            </w:r>
          </w:p>
        </w:tc>
      </w:tr>
      <w:tr w:rsidR="00104E16" w:rsidRPr="005F4AB5" w14:paraId="1A49E63F"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33FF0DF" w14:textId="6F7F6CE1" w:rsidR="008E1096" w:rsidRPr="005F4AB5" w:rsidRDefault="008E1096" w:rsidP="008E1096">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0680EED9" w14:textId="77777777"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07088497" w14:textId="1B57BF18"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6CD345B5" w14:textId="104AC168"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00261B15" w14:textId="107D41C6"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25/00009/LAW</w:t>
            </w:r>
          </w:p>
        </w:tc>
        <w:tc>
          <w:tcPr>
            <w:tcW w:w="0" w:type="auto"/>
            <w:shd w:val="clear" w:color="auto" w:fill="FFFFFF" w:themeFill="background1"/>
          </w:tcPr>
          <w:p w14:paraId="50E99E83" w14:textId="6B1C4A12"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40 Cromwell Street</w:t>
            </w:r>
          </w:p>
        </w:tc>
        <w:tc>
          <w:tcPr>
            <w:tcW w:w="0" w:type="auto"/>
            <w:shd w:val="clear" w:color="auto" w:fill="FFFFFF" w:themeFill="background1"/>
          </w:tcPr>
          <w:p w14:paraId="2D72F609" w14:textId="49F3905C"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Westgate</w:t>
            </w:r>
          </w:p>
        </w:tc>
        <w:tc>
          <w:tcPr>
            <w:tcW w:w="0" w:type="auto"/>
            <w:shd w:val="clear" w:color="auto" w:fill="FFFFFF" w:themeFill="background1"/>
          </w:tcPr>
          <w:p w14:paraId="2E559575" w14:textId="7F412404"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24536958" w14:textId="0B4DC1CC"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2EFD2585" w14:textId="37E251BB"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40951CE8" w14:textId="045D2DBB"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3382D5F6" w14:textId="20EEB0A1"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3D570480" w14:textId="50349DA8"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4E547CF0" w14:textId="767FCE60" w:rsidR="008E1096" w:rsidRPr="005F4AB5" w:rsidRDefault="008E1096" w:rsidP="008E1096">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0</w:t>
            </w:r>
          </w:p>
        </w:tc>
      </w:tr>
      <w:tr w:rsidR="00104E16" w:rsidRPr="005F4AB5" w14:paraId="672198F2"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012B74F" w14:textId="1EEA6369" w:rsidR="008E1096" w:rsidRPr="005F4AB5" w:rsidRDefault="008E1096" w:rsidP="008E1096">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20F48891" w14:textId="77777777"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090F22ED" w14:textId="6027D8D9"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24BB8DAE" w14:textId="73B6E32E"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Not started</w:t>
            </w:r>
          </w:p>
        </w:tc>
        <w:tc>
          <w:tcPr>
            <w:tcW w:w="0" w:type="auto"/>
            <w:shd w:val="clear" w:color="auto" w:fill="FFFFFF" w:themeFill="background1"/>
          </w:tcPr>
          <w:p w14:paraId="4A370CCD" w14:textId="3050F00B"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25/00120/FUL</w:t>
            </w:r>
          </w:p>
        </w:tc>
        <w:tc>
          <w:tcPr>
            <w:tcW w:w="0" w:type="auto"/>
            <w:shd w:val="clear" w:color="auto" w:fill="FFFFFF" w:themeFill="background1"/>
          </w:tcPr>
          <w:p w14:paraId="3CF2DDFA" w14:textId="3752830F"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129 Southgate Street</w:t>
            </w:r>
          </w:p>
        </w:tc>
        <w:tc>
          <w:tcPr>
            <w:tcW w:w="0" w:type="auto"/>
            <w:shd w:val="clear" w:color="auto" w:fill="FFFFFF" w:themeFill="background1"/>
          </w:tcPr>
          <w:p w14:paraId="4C3AA0ED" w14:textId="1FF5EBEC"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Westgate</w:t>
            </w:r>
          </w:p>
        </w:tc>
        <w:tc>
          <w:tcPr>
            <w:tcW w:w="0" w:type="auto"/>
            <w:shd w:val="clear" w:color="auto" w:fill="FFFFFF" w:themeFill="background1"/>
          </w:tcPr>
          <w:p w14:paraId="003C8D87" w14:textId="010FA831"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2E0E16F6" w14:textId="5F7EC18C"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6D93A791" w14:textId="2021C53F" w:rsidR="008E1096" w:rsidRPr="005F4AB5" w:rsidRDefault="00BE40A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1</w:t>
            </w:r>
          </w:p>
        </w:tc>
        <w:tc>
          <w:tcPr>
            <w:tcW w:w="0" w:type="auto"/>
            <w:shd w:val="clear" w:color="auto" w:fill="FFFFFF" w:themeFill="background1"/>
          </w:tcPr>
          <w:p w14:paraId="549069D9" w14:textId="05B006F3"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4339938E" w14:textId="7FFADDF6"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12DE93BE" w14:textId="0D910349"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7FD69BBD" w14:textId="201D297F" w:rsidR="008E1096" w:rsidRPr="005F4AB5" w:rsidRDefault="008E1096" w:rsidP="008E1096">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r>
      <w:tr w:rsidR="00104E16" w:rsidRPr="005F4AB5" w14:paraId="32BE7523"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EF55C5A" w14:textId="363BA61F" w:rsidR="00CE5487" w:rsidRPr="005F4AB5" w:rsidRDefault="00CE5487" w:rsidP="00CE5487">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2960C323" w14:textId="77777777"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75E49367" w14:textId="002AECC9"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5CF7C4C9" w14:textId="138264DB"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2845424A" w14:textId="620BC8E2"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17/01385/FUL &amp; 17/01386/LBC</w:t>
            </w:r>
          </w:p>
        </w:tc>
        <w:tc>
          <w:tcPr>
            <w:tcW w:w="0" w:type="auto"/>
            <w:shd w:val="clear" w:color="auto" w:fill="FFFFFF" w:themeFill="background1"/>
          </w:tcPr>
          <w:p w14:paraId="040CE09C" w14:textId="334C2D9F"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xml:space="preserve">61 Southgate Street </w:t>
            </w:r>
          </w:p>
        </w:tc>
        <w:tc>
          <w:tcPr>
            <w:tcW w:w="0" w:type="auto"/>
            <w:shd w:val="clear" w:color="auto" w:fill="FFFFFF" w:themeFill="background1"/>
          </w:tcPr>
          <w:p w14:paraId="7D117E56" w14:textId="22483D19"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Westgate</w:t>
            </w:r>
          </w:p>
        </w:tc>
        <w:tc>
          <w:tcPr>
            <w:tcW w:w="0" w:type="auto"/>
            <w:shd w:val="clear" w:color="auto" w:fill="FFFFFF" w:themeFill="background1"/>
          </w:tcPr>
          <w:p w14:paraId="232895E4" w14:textId="5979AF27"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3</w:t>
            </w:r>
          </w:p>
        </w:tc>
        <w:tc>
          <w:tcPr>
            <w:tcW w:w="0" w:type="auto"/>
            <w:shd w:val="clear" w:color="auto" w:fill="FFFFFF" w:themeFill="background1"/>
          </w:tcPr>
          <w:p w14:paraId="670B0DFD" w14:textId="22044B25"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3</w:t>
            </w:r>
          </w:p>
        </w:tc>
        <w:tc>
          <w:tcPr>
            <w:tcW w:w="0" w:type="auto"/>
            <w:shd w:val="clear" w:color="auto" w:fill="FFFFFF" w:themeFill="background1"/>
          </w:tcPr>
          <w:p w14:paraId="2E248BA9" w14:textId="6344ED97"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4B0EA9B0" w14:textId="665BABAB"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0C908FDF" w14:textId="27E941F7"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20EC03B4" w14:textId="3E021A0C"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1956D1E1" w14:textId="10416B7D"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3</w:t>
            </w:r>
          </w:p>
        </w:tc>
      </w:tr>
      <w:tr w:rsidR="00104E16" w:rsidRPr="005F4AB5" w14:paraId="0096F8C7"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729240E" w14:textId="7A761677" w:rsidR="00CE5487" w:rsidRPr="005F4AB5" w:rsidRDefault="00CE5487" w:rsidP="00CE5487">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1F48CE6A" w14:textId="77777777"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2058E669" w14:textId="472383A9"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0D8BFBE6" w14:textId="387ECB5A"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4E4B7168" w14:textId="1B739891"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20/00226/REM</w:t>
            </w:r>
          </w:p>
        </w:tc>
        <w:tc>
          <w:tcPr>
            <w:tcW w:w="0" w:type="auto"/>
            <w:shd w:val="clear" w:color="auto" w:fill="FFFFFF" w:themeFill="background1"/>
          </w:tcPr>
          <w:p w14:paraId="3F4A8E3B" w14:textId="764725AF"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xml:space="preserve">12 Sandyleaze </w:t>
            </w:r>
          </w:p>
        </w:tc>
        <w:tc>
          <w:tcPr>
            <w:tcW w:w="0" w:type="auto"/>
            <w:shd w:val="clear" w:color="auto" w:fill="FFFFFF" w:themeFill="background1"/>
          </w:tcPr>
          <w:p w14:paraId="2A3F330B" w14:textId="1892592F"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Elmbridge</w:t>
            </w:r>
          </w:p>
        </w:tc>
        <w:tc>
          <w:tcPr>
            <w:tcW w:w="0" w:type="auto"/>
            <w:shd w:val="clear" w:color="auto" w:fill="FFFFFF" w:themeFill="background1"/>
          </w:tcPr>
          <w:p w14:paraId="5595FD05" w14:textId="3F02D719"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7618825A" w14:textId="089BB99B"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254DB939" w14:textId="1BFF65EB" w:rsidR="00CE5487" w:rsidRPr="005F4AB5" w:rsidRDefault="0029429E"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lang w:val="en-GB" w:eastAsia="en-GB"/>
              </w:rPr>
              <w:t>1</w:t>
            </w:r>
          </w:p>
        </w:tc>
        <w:tc>
          <w:tcPr>
            <w:tcW w:w="0" w:type="auto"/>
            <w:shd w:val="clear" w:color="auto" w:fill="FFFFFF" w:themeFill="background1"/>
          </w:tcPr>
          <w:p w14:paraId="31C7835E" w14:textId="00ACF45D" w:rsidR="00CE5487" w:rsidRPr="005F4AB5" w:rsidRDefault="0029429E"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4E0787D0" w14:textId="22EFDF3B"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11F2082A" w14:textId="716FA870"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0D2FDF52" w14:textId="25F9A126"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r>
      <w:tr w:rsidR="00104E16" w:rsidRPr="005F4AB5" w14:paraId="61D5671C"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AD28F4F" w14:textId="51F8F757" w:rsidR="00CE5487" w:rsidRPr="005F4AB5" w:rsidRDefault="00CE5487" w:rsidP="00CE5487">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57359A66" w14:textId="77777777"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3AD09933" w14:textId="3E711412"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6F92141D" w14:textId="131BC84A"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521A8D87" w14:textId="3CB0C625"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20/01056/FUL</w:t>
            </w:r>
          </w:p>
        </w:tc>
        <w:tc>
          <w:tcPr>
            <w:tcW w:w="0" w:type="auto"/>
            <w:shd w:val="clear" w:color="auto" w:fill="FFFFFF" w:themeFill="background1"/>
          </w:tcPr>
          <w:p w14:paraId="5FB44A95" w14:textId="227DA7C8"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Winget House, Spa Road</w:t>
            </w:r>
          </w:p>
        </w:tc>
        <w:tc>
          <w:tcPr>
            <w:tcW w:w="0" w:type="auto"/>
            <w:shd w:val="clear" w:color="auto" w:fill="FFFFFF" w:themeFill="background1"/>
          </w:tcPr>
          <w:p w14:paraId="229E2E77" w14:textId="4174101A"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xml:space="preserve">Westgate </w:t>
            </w:r>
          </w:p>
        </w:tc>
        <w:tc>
          <w:tcPr>
            <w:tcW w:w="0" w:type="auto"/>
            <w:shd w:val="clear" w:color="auto" w:fill="FFFFFF" w:themeFill="background1"/>
          </w:tcPr>
          <w:p w14:paraId="29695A22" w14:textId="6B02BF75"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w:t>
            </w:r>
          </w:p>
        </w:tc>
        <w:tc>
          <w:tcPr>
            <w:tcW w:w="0" w:type="auto"/>
            <w:shd w:val="clear" w:color="auto" w:fill="FFFFFF" w:themeFill="background1"/>
          </w:tcPr>
          <w:p w14:paraId="49B38818" w14:textId="592C17FE"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0778CDF9" w14:textId="22057CDD"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40828759" w14:textId="51D1B719"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6A8F3C84" w14:textId="67539A7F"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14119655" w14:textId="639DC43A"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01C0F075" w14:textId="1D963133" w:rsidR="00CE5487" w:rsidRPr="005F4AB5" w:rsidRDefault="007B7824"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lang w:val="en-GB" w:eastAsia="en-GB"/>
              </w:rPr>
              <w:t>1</w:t>
            </w:r>
          </w:p>
        </w:tc>
      </w:tr>
      <w:tr w:rsidR="00104E16" w:rsidRPr="005F4AB5" w14:paraId="1F0BDE16"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2E17643" w14:textId="4236091A" w:rsidR="00CE5487" w:rsidRPr="005F4AB5" w:rsidRDefault="00CE5487" w:rsidP="00CE5487">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2E07F7B3" w14:textId="77777777"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2E82D80F" w14:textId="02B64BEC"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6CA78A9E" w14:textId="268B5190"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727DC110" w14:textId="64AE609E"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20/01113/FUL</w:t>
            </w:r>
          </w:p>
        </w:tc>
        <w:tc>
          <w:tcPr>
            <w:tcW w:w="0" w:type="auto"/>
            <w:shd w:val="clear" w:color="auto" w:fill="FFFFFF" w:themeFill="background1"/>
            <w:vAlign w:val="bottom"/>
          </w:tcPr>
          <w:p w14:paraId="5D6471C8" w14:textId="499A6B36"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182 Southgate Street</w:t>
            </w:r>
          </w:p>
        </w:tc>
        <w:tc>
          <w:tcPr>
            <w:tcW w:w="0" w:type="auto"/>
            <w:shd w:val="clear" w:color="auto" w:fill="FFFFFF" w:themeFill="background1"/>
          </w:tcPr>
          <w:p w14:paraId="716DDFF1" w14:textId="1C9A9FD9"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Westgate</w:t>
            </w:r>
          </w:p>
        </w:tc>
        <w:tc>
          <w:tcPr>
            <w:tcW w:w="0" w:type="auto"/>
            <w:shd w:val="clear" w:color="auto" w:fill="FFFFFF" w:themeFill="background1"/>
          </w:tcPr>
          <w:p w14:paraId="1F351C09" w14:textId="6377E27D"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3</w:t>
            </w:r>
          </w:p>
        </w:tc>
        <w:tc>
          <w:tcPr>
            <w:tcW w:w="0" w:type="auto"/>
            <w:shd w:val="clear" w:color="auto" w:fill="FFFFFF" w:themeFill="background1"/>
          </w:tcPr>
          <w:p w14:paraId="538145EF" w14:textId="0BA15D51"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3</w:t>
            </w:r>
          </w:p>
        </w:tc>
        <w:tc>
          <w:tcPr>
            <w:tcW w:w="0" w:type="auto"/>
            <w:shd w:val="clear" w:color="auto" w:fill="FFFFFF" w:themeFill="background1"/>
          </w:tcPr>
          <w:p w14:paraId="2164B24D" w14:textId="3C805339"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2F18EA99" w14:textId="756A0ADA"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69ECB304" w14:textId="0D5ADF98"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389C8C93" w14:textId="367DC282"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68C9C15C" w14:textId="69C5BD20"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3</w:t>
            </w:r>
          </w:p>
        </w:tc>
      </w:tr>
      <w:tr w:rsidR="00104E16" w:rsidRPr="005F4AB5" w14:paraId="589A6BCC"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553A88B" w14:textId="61DA2EDD" w:rsidR="00CE5487" w:rsidRPr="005F4AB5" w:rsidRDefault="00CE5487" w:rsidP="00CE5487">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0A44B2EC" w14:textId="77777777"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157598F7" w14:textId="0890CB06"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5B7A059C" w14:textId="35C95D01"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73360F41" w14:textId="10BD6BD0"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21/00494/FUL</w:t>
            </w:r>
          </w:p>
        </w:tc>
        <w:tc>
          <w:tcPr>
            <w:tcW w:w="0" w:type="auto"/>
            <w:shd w:val="clear" w:color="auto" w:fill="FFFFFF" w:themeFill="background1"/>
          </w:tcPr>
          <w:p w14:paraId="7BF42BCB" w14:textId="440FE25D" w:rsidR="00CE5487" w:rsidRPr="005F4AB5" w:rsidRDefault="00CE5487" w:rsidP="007B7824">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55 Badmington Road</w:t>
            </w:r>
          </w:p>
        </w:tc>
        <w:tc>
          <w:tcPr>
            <w:tcW w:w="0" w:type="auto"/>
            <w:shd w:val="clear" w:color="auto" w:fill="FFFFFF" w:themeFill="background1"/>
          </w:tcPr>
          <w:p w14:paraId="6140FC43" w14:textId="72F2F89C"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Matson &amp; Robinswood</w:t>
            </w:r>
          </w:p>
        </w:tc>
        <w:tc>
          <w:tcPr>
            <w:tcW w:w="0" w:type="auto"/>
            <w:shd w:val="clear" w:color="auto" w:fill="FFFFFF" w:themeFill="background1"/>
          </w:tcPr>
          <w:p w14:paraId="151A7760" w14:textId="0938C056"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336259F8" w14:textId="4885B16F"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5F224C7E" w14:textId="352DE393"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41DD6FF7" w14:textId="002F460F"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671D29AD" w14:textId="72407B72"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64D4AE9B" w14:textId="119BBC1D"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4E3B6B91" w14:textId="61F56098"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r>
      <w:tr w:rsidR="00104E16" w:rsidRPr="005F4AB5" w14:paraId="6953AEBB"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7264DF2" w14:textId="5316B248" w:rsidR="00CE5487" w:rsidRPr="005F4AB5" w:rsidRDefault="00CE5487" w:rsidP="00CE5487">
            <w:pPr>
              <w:widowControl/>
              <w:autoSpaceDE/>
              <w:autoSpaceDN/>
              <w:rPr>
                <w:rFonts w:eastAsia="Times New Roman"/>
                <w:sz w:val="20"/>
                <w:szCs w:val="20"/>
                <w:lang w:val="en-GB" w:eastAsia="en-GB"/>
              </w:rPr>
            </w:pPr>
            <w:r w:rsidRPr="005F4AB5">
              <w:rPr>
                <w:rFonts w:eastAsia="Times New Roman"/>
                <w:sz w:val="20"/>
                <w:szCs w:val="20"/>
                <w:lang w:val="en-GB" w:eastAsia="en-GB"/>
              </w:rPr>
              <w:lastRenderedPageBreak/>
              <w:t>D</w:t>
            </w:r>
          </w:p>
        </w:tc>
        <w:tc>
          <w:tcPr>
            <w:tcW w:w="0" w:type="auto"/>
            <w:shd w:val="clear" w:color="auto" w:fill="FFFFFF" w:themeFill="background1"/>
          </w:tcPr>
          <w:p w14:paraId="28C24A1A" w14:textId="77777777"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538918C6" w14:textId="40A18809"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4D88584B" w14:textId="0FEC8AC7"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02B01276" w14:textId="4DDDB8F1"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21/00787/FUL</w:t>
            </w:r>
          </w:p>
        </w:tc>
        <w:tc>
          <w:tcPr>
            <w:tcW w:w="0" w:type="auto"/>
            <w:shd w:val="clear" w:color="auto" w:fill="FFFFFF" w:themeFill="background1"/>
            <w:vAlign w:val="bottom"/>
          </w:tcPr>
          <w:p w14:paraId="37C0EAD8" w14:textId="306BEB45"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Land at Redcliffe Court, Kenilworth Avenue</w:t>
            </w:r>
          </w:p>
        </w:tc>
        <w:tc>
          <w:tcPr>
            <w:tcW w:w="0" w:type="auto"/>
            <w:shd w:val="clear" w:color="auto" w:fill="FFFFFF" w:themeFill="background1"/>
          </w:tcPr>
          <w:p w14:paraId="7EFE403A" w14:textId="6E385C06"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Kingsholm &amp; Wotton</w:t>
            </w:r>
          </w:p>
        </w:tc>
        <w:tc>
          <w:tcPr>
            <w:tcW w:w="0" w:type="auto"/>
            <w:shd w:val="clear" w:color="auto" w:fill="FFFFFF" w:themeFill="background1"/>
          </w:tcPr>
          <w:p w14:paraId="7AF2E727" w14:textId="61375E6F"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539ACD8F" w14:textId="4BF4D454"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74CCD3AB" w14:textId="4E232421"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70E13676" w14:textId="309F607A"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0AF34A13" w14:textId="2ECCAB38"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326D8276" w14:textId="1E8C5192"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2E32AE41" w14:textId="1D879D9C"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r>
      <w:tr w:rsidR="00104E16" w:rsidRPr="005F4AB5" w14:paraId="66B713C6"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CCBFD8D" w14:textId="3A609A9B" w:rsidR="00CE5487" w:rsidRPr="005F4AB5" w:rsidRDefault="00CE5487" w:rsidP="00CE5487">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2717FFC8" w14:textId="77777777"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28CACBA3" w14:textId="5EBC5C78"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06F2F5A6" w14:textId="7B344600"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31C69515" w14:textId="5EFE0429"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22/00332/FUL</w:t>
            </w:r>
          </w:p>
        </w:tc>
        <w:tc>
          <w:tcPr>
            <w:tcW w:w="0" w:type="auto"/>
            <w:shd w:val="clear" w:color="auto" w:fill="FFFFFF" w:themeFill="background1"/>
          </w:tcPr>
          <w:p w14:paraId="2A520DD0" w14:textId="66059658"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Paget Cottage, the Wheatridge</w:t>
            </w:r>
          </w:p>
        </w:tc>
        <w:tc>
          <w:tcPr>
            <w:tcW w:w="0" w:type="auto"/>
            <w:shd w:val="clear" w:color="auto" w:fill="FFFFFF" w:themeFill="background1"/>
          </w:tcPr>
          <w:p w14:paraId="28E8AD78" w14:textId="48A954A9"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Abbeydale</w:t>
            </w:r>
          </w:p>
        </w:tc>
        <w:tc>
          <w:tcPr>
            <w:tcW w:w="0" w:type="auto"/>
            <w:shd w:val="clear" w:color="auto" w:fill="FFFFFF" w:themeFill="background1"/>
          </w:tcPr>
          <w:p w14:paraId="0153A452" w14:textId="2EEA1615"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00D39B76" w14:textId="48DC228F"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50FF9DC9" w14:textId="3BE7B167"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79551BE4" w14:textId="09B33300"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511BF2B0" w14:textId="026759FF"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383A2354" w14:textId="1C954BA2"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296A1BBE" w14:textId="437D8CFE"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r>
      <w:tr w:rsidR="00104E16" w:rsidRPr="005F4AB5" w14:paraId="571C0311"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87E8546" w14:textId="6D493FAF" w:rsidR="00CE5487" w:rsidRPr="005F4AB5" w:rsidRDefault="00CE5487" w:rsidP="00CE5487">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2E1D0A92" w14:textId="77777777"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48CB88F3" w14:textId="2B2B4F65"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4351A6CC" w14:textId="37918CB1"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2E78B5C1" w14:textId="51F27402"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22/00428/FUL</w:t>
            </w:r>
          </w:p>
        </w:tc>
        <w:tc>
          <w:tcPr>
            <w:tcW w:w="0" w:type="auto"/>
            <w:shd w:val="clear" w:color="auto" w:fill="FFFFFF" w:themeFill="background1"/>
          </w:tcPr>
          <w:p w14:paraId="67E17830" w14:textId="7F65A267"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In the Manorhouse, 162 Barnwood Road</w:t>
            </w:r>
          </w:p>
        </w:tc>
        <w:tc>
          <w:tcPr>
            <w:tcW w:w="0" w:type="auto"/>
            <w:shd w:val="clear" w:color="auto" w:fill="FFFFFF" w:themeFill="background1"/>
          </w:tcPr>
          <w:p w14:paraId="4FCCC9CA" w14:textId="2321AD91"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Barnwood</w:t>
            </w:r>
          </w:p>
        </w:tc>
        <w:tc>
          <w:tcPr>
            <w:tcW w:w="0" w:type="auto"/>
            <w:shd w:val="clear" w:color="auto" w:fill="FFFFFF" w:themeFill="background1"/>
          </w:tcPr>
          <w:p w14:paraId="7E6629FD" w14:textId="655DF214"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4</w:t>
            </w:r>
          </w:p>
        </w:tc>
        <w:tc>
          <w:tcPr>
            <w:tcW w:w="0" w:type="auto"/>
            <w:shd w:val="clear" w:color="auto" w:fill="FFFFFF" w:themeFill="background1"/>
          </w:tcPr>
          <w:p w14:paraId="3065C66C" w14:textId="4026A7A2"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4B79EC49" w14:textId="31650481"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4</w:t>
            </w:r>
          </w:p>
        </w:tc>
        <w:tc>
          <w:tcPr>
            <w:tcW w:w="0" w:type="auto"/>
            <w:shd w:val="clear" w:color="auto" w:fill="FFFFFF" w:themeFill="background1"/>
          </w:tcPr>
          <w:p w14:paraId="1F6A7833" w14:textId="3AB84E42"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52920189" w14:textId="51F44E19"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4651C9C6" w14:textId="26835A39"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4AB68513" w14:textId="4296D64C"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4</w:t>
            </w:r>
          </w:p>
        </w:tc>
      </w:tr>
      <w:tr w:rsidR="00104E16" w:rsidRPr="005F4AB5" w14:paraId="5EC6F555"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8AE82DB" w14:textId="271640E4" w:rsidR="00CE5487" w:rsidRPr="005F4AB5" w:rsidRDefault="00CE5487" w:rsidP="00CE5487">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1BC41FA8" w14:textId="77777777"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09DF0A0B" w14:textId="4DFF25AE"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4C90EC7C" w14:textId="50556026"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6ECD3C7E" w14:textId="5D5945C5"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22/00584/FUL</w:t>
            </w:r>
          </w:p>
        </w:tc>
        <w:tc>
          <w:tcPr>
            <w:tcW w:w="0" w:type="auto"/>
            <w:shd w:val="clear" w:color="auto" w:fill="FFFFFF" w:themeFill="background1"/>
          </w:tcPr>
          <w:p w14:paraId="529699BF" w14:textId="791453F5"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Side of 69 Elmleaze</w:t>
            </w:r>
          </w:p>
        </w:tc>
        <w:tc>
          <w:tcPr>
            <w:tcW w:w="0" w:type="auto"/>
            <w:shd w:val="clear" w:color="auto" w:fill="FFFFFF" w:themeFill="background1"/>
          </w:tcPr>
          <w:p w14:paraId="7695047B" w14:textId="5E0C59CF"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Elmbridge</w:t>
            </w:r>
          </w:p>
        </w:tc>
        <w:tc>
          <w:tcPr>
            <w:tcW w:w="0" w:type="auto"/>
            <w:shd w:val="clear" w:color="auto" w:fill="FFFFFF" w:themeFill="background1"/>
          </w:tcPr>
          <w:p w14:paraId="4DD9E98E" w14:textId="601CC9EC"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3BE1C4A1" w14:textId="25F9C9F8"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5F41185F" w14:textId="779C2295"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5F50E414" w14:textId="4B9F09DA"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3D4ABEDD" w14:textId="2464F359"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7788F7D4" w14:textId="1829046B"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5C986E29" w14:textId="2FA7FC46"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r>
      <w:tr w:rsidR="00104E16" w:rsidRPr="005F4AB5" w14:paraId="417DF443"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1BEA0F0" w14:textId="765666C5" w:rsidR="00CE5487" w:rsidRPr="005F4AB5" w:rsidRDefault="00CE5487" w:rsidP="00CE5487">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6BB19304" w14:textId="77777777"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5930CF9B" w14:textId="1661FF9C"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409964E5" w14:textId="4897C097"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57C07B22" w14:textId="44D676A0"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22/01086/COU</w:t>
            </w:r>
          </w:p>
        </w:tc>
        <w:tc>
          <w:tcPr>
            <w:tcW w:w="0" w:type="auto"/>
            <w:shd w:val="clear" w:color="auto" w:fill="FFFFFF" w:themeFill="background1"/>
          </w:tcPr>
          <w:p w14:paraId="0E40AE4E" w14:textId="1BE5D8AA"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48 Westgate Street</w:t>
            </w:r>
          </w:p>
        </w:tc>
        <w:tc>
          <w:tcPr>
            <w:tcW w:w="0" w:type="auto"/>
            <w:shd w:val="clear" w:color="auto" w:fill="FFFFFF" w:themeFill="background1"/>
          </w:tcPr>
          <w:p w14:paraId="626BAFD7" w14:textId="1ADE34A4"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Westgate</w:t>
            </w:r>
          </w:p>
        </w:tc>
        <w:tc>
          <w:tcPr>
            <w:tcW w:w="0" w:type="auto"/>
            <w:shd w:val="clear" w:color="auto" w:fill="FFFFFF" w:themeFill="background1"/>
          </w:tcPr>
          <w:p w14:paraId="5845AC36" w14:textId="4B7B48B6"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03EC7D0C" w14:textId="7AC5F9F2"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2285D847" w14:textId="3E5FADD2"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03C6E800" w14:textId="2F49BBCD"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00BEF111" w14:textId="4FD854C7"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3832BAF8" w14:textId="789B29D3"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0D3B92DE" w14:textId="5A85DB06"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r>
      <w:tr w:rsidR="00104E16" w:rsidRPr="005F4AB5" w14:paraId="4812CAC8"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8108F3A" w14:textId="00C42E30" w:rsidR="00CE5487" w:rsidRPr="005F4AB5" w:rsidRDefault="00CE5487" w:rsidP="00CE5487">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012C85F0" w14:textId="77777777"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4E53523A" w14:textId="241AF8E5"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6D8650B6" w14:textId="39CB2AB7"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54D3478F" w14:textId="7291ACB7"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23/00109/FUL</w:t>
            </w:r>
          </w:p>
        </w:tc>
        <w:tc>
          <w:tcPr>
            <w:tcW w:w="0" w:type="auto"/>
            <w:shd w:val="clear" w:color="auto" w:fill="FFFFFF" w:themeFill="background1"/>
          </w:tcPr>
          <w:p w14:paraId="486D1316" w14:textId="5BB5B292"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xml:space="preserve">81 Painswick Road </w:t>
            </w:r>
          </w:p>
        </w:tc>
        <w:tc>
          <w:tcPr>
            <w:tcW w:w="0" w:type="auto"/>
            <w:shd w:val="clear" w:color="auto" w:fill="FFFFFF" w:themeFill="background1"/>
          </w:tcPr>
          <w:p w14:paraId="1B82208A" w14:textId="59963445"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Coney Hill</w:t>
            </w:r>
          </w:p>
        </w:tc>
        <w:tc>
          <w:tcPr>
            <w:tcW w:w="0" w:type="auto"/>
            <w:shd w:val="clear" w:color="auto" w:fill="FFFFFF" w:themeFill="background1"/>
          </w:tcPr>
          <w:p w14:paraId="6A271709" w14:textId="53A1501F"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w:t>
            </w:r>
          </w:p>
        </w:tc>
        <w:tc>
          <w:tcPr>
            <w:tcW w:w="0" w:type="auto"/>
            <w:shd w:val="clear" w:color="auto" w:fill="FFFFFF" w:themeFill="background1"/>
          </w:tcPr>
          <w:p w14:paraId="78ABAA5A" w14:textId="1812A45D"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w:t>
            </w:r>
          </w:p>
        </w:tc>
        <w:tc>
          <w:tcPr>
            <w:tcW w:w="0" w:type="auto"/>
            <w:shd w:val="clear" w:color="auto" w:fill="FFFFFF" w:themeFill="background1"/>
          </w:tcPr>
          <w:p w14:paraId="6CB34916" w14:textId="500DD98C"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3507BDB7" w14:textId="3AB66584"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0505DE8A" w14:textId="39394004"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4D370B6E" w14:textId="73A08341"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53BE56BF" w14:textId="5C306DF6"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w:t>
            </w:r>
          </w:p>
        </w:tc>
      </w:tr>
      <w:tr w:rsidR="00104E16" w:rsidRPr="005F4AB5" w14:paraId="54332800"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3FA3BFE" w14:textId="42327E8B" w:rsidR="00CE5487" w:rsidRPr="005F4AB5" w:rsidRDefault="00CE5487" w:rsidP="00CE5487">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262D6461" w14:textId="77777777"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01DC30E1" w14:textId="36709476"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774BE4A7" w14:textId="17FC47B0"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358FCE5C" w14:textId="599BEB74"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23/00238/JPA</w:t>
            </w:r>
          </w:p>
        </w:tc>
        <w:tc>
          <w:tcPr>
            <w:tcW w:w="0" w:type="auto"/>
            <w:shd w:val="clear" w:color="auto" w:fill="FFFFFF" w:themeFill="background1"/>
          </w:tcPr>
          <w:p w14:paraId="68EC7B5B" w14:textId="64906972"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45 Park Road</w:t>
            </w:r>
          </w:p>
        </w:tc>
        <w:tc>
          <w:tcPr>
            <w:tcW w:w="0" w:type="auto"/>
            <w:shd w:val="clear" w:color="auto" w:fill="FFFFFF" w:themeFill="background1"/>
          </w:tcPr>
          <w:p w14:paraId="53454D64" w14:textId="726019D9"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Westgate</w:t>
            </w:r>
          </w:p>
        </w:tc>
        <w:tc>
          <w:tcPr>
            <w:tcW w:w="0" w:type="auto"/>
            <w:shd w:val="clear" w:color="auto" w:fill="FFFFFF" w:themeFill="background1"/>
          </w:tcPr>
          <w:p w14:paraId="24B6CE6B" w14:textId="6E8BA594"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1419B797" w14:textId="1E38498C"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39A4D1BB" w14:textId="0AA75252"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0 </w:t>
            </w:r>
          </w:p>
        </w:tc>
        <w:tc>
          <w:tcPr>
            <w:tcW w:w="0" w:type="auto"/>
            <w:shd w:val="clear" w:color="auto" w:fill="FFFFFF" w:themeFill="background1"/>
          </w:tcPr>
          <w:p w14:paraId="030EBD6B" w14:textId="02613BB8"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6785541C" w14:textId="6459BE9B"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00F8B6C1" w14:textId="6FD83B56"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6087C8E7" w14:textId="48F76F14"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r>
      <w:tr w:rsidR="00104E16" w:rsidRPr="005F4AB5" w14:paraId="65ABA58D"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9926463" w14:textId="4456F617" w:rsidR="00CE5487" w:rsidRPr="005F4AB5" w:rsidRDefault="00CE5487" w:rsidP="00CE5487">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572BB150" w14:textId="77777777"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10220262" w14:textId="423E258D"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03C229F8" w14:textId="653363BE"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4AD0C3B1" w14:textId="4DA4AE76"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23/00241/FUL</w:t>
            </w:r>
          </w:p>
        </w:tc>
        <w:tc>
          <w:tcPr>
            <w:tcW w:w="0" w:type="auto"/>
            <w:shd w:val="clear" w:color="auto" w:fill="FFFFFF" w:themeFill="background1"/>
          </w:tcPr>
          <w:p w14:paraId="45F04AC5" w14:textId="132A3586"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Land Adj. to 117 Painswick Road</w:t>
            </w:r>
          </w:p>
        </w:tc>
        <w:tc>
          <w:tcPr>
            <w:tcW w:w="0" w:type="auto"/>
            <w:shd w:val="clear" w:color="auto" w:fill="FFFFFF" w:themeFill="background1"/>
          </w:tcPr>
          <w:p w14:paraId="2E714FDE" w14:textId="6BCC916A"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Coney Hill</w:t>
            </w:r>
          </w:p>
        </w:tc>
        <w:tc>
          <w:tcPr>
            <w:tcW w:w="0" w:type="auto"/>
            <w:shd w:val="clear" w:color="auto" w:fill="FFFFFF" w:themeFill="background1"/>
          </w:tcPr>
          <w:p w14:paraId="4C11CB7E" w14:textId="7E5C0351"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61B8846D" w14:textId="706A3774"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7EBD39C3" w14:textId="73BBE75A"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3C5DEAD2" w14:textId="0E492A52"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7A06533A" w14:textId="61F22263"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5FB3C936" w14:textId="556953A4"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0F3B0140" w14:textId="576D1DA4"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r>
      <w:tr w:rsidR="00104E16" w:rsidRPr="005F4AB5" w14:paraId="66DA1FFA"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4FAFFFF" w14:textId="7F8661D6" w:rsidR="00CE5487" w:rsidRPr="005F4AB5" w:rsidRDefault="00CE5487" w:rsidP="00CE5487">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61644B92" w14:textId="77777777"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2C3B9116" w14:textId="5FB4118E"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0439BC5B" w14:textId="1A12558C"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35FBADD9" w14:textId="41C5BF3B"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23/00401/FUL</w:t>
            </w:r>
          </w:p>
        </w:tc>
        <w:tc>
          <w:tcPr>
            <w:tcW w:w="0" w:type="auto"/>
            <w:shd w:val="clear" w:color="auto" w:fill="FFFFFF" w:themeFill="background1"/>
          </w:tcPr>
          <w:p w14:paraId="13493FEB" w14:textId="555419DD"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255C Stroud Road</w:t>
            </w:r>
          </w:p>
        </w:tc>
        <w:tc>
          <w:tcPr>
            <w:tcW w:w="0" w:type="auto"/>
            <w:shd w:val="clear" w:color="auto" w:fill="FFFFFF" w:themeFill="background1"/>
          </w:tcPr>
          <w:p w14:paraId="7C25C4ED" w14:textId="21F38BD1"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Moreland</w:t>
            </w:r>
          </w:p>
        </w:tc>
        <w:tc>
          <w:tcPr>
            <w:tcW w:w="0" w:type="auto"/>
            <w:shd w:val="clear" w:color="auto" w:fill="FFFFFF" w:themeFill="background1"/>
          </w:tcPr>
          <w:p w14:paraId="5000BEE5" w14:textId="2AF831A3"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4</w:t>
            </w:r>
          </w:p>
        </w:tc>
        <w:tc>
          <w:tcPr>
            <w:tcW w:w="0" w:type="auto"/>
            <w:shd w:val="clear" w:color="auto" w:fill="FFFFFF" w:themeFill="background1"/>
          </w:tcPr>
          <w:p w14:paraId="47A82857" w14:textId="35DE54CD"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4</w:t>
            </w:r>
          </w:p>
        </w:tc>
        <w:tc>
          <w:tcPr>
            <w:tcW w:w="0" w:type="auto"/>
            <w:shd w:val="clear" w:color="auto" w:fill="FFFFFF" w:themeFill="background1"/>
          </w:tcPr>
          <w:p w14:paraId="19206095" w14:textId="14E36C3C"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0A25F8D7" w14:textId="1E1C06F1"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6DC8193C" w14:textId="211E2741"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307CF76D" w14:textId="44BAAF17"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452CE857" w14:textId="10171272"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4</w:t>
            </w:r>
          </w:p>
        </w:tc>
      </w:tr>
      <w:tr w:rsidR="00104E16" w:rsidRPr="005F4AB5" w14:paraId="41D9B004"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909B9DF" w14:textId="4C6890FC" w:rsidR="00CE5487" w:rsidRPr="005F4AB5" w:rsidRDefault="00CE5487" w:rsidP="00CE5487">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628EE511" w14:textId="77777777"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652C8A1C" w14:textId="1EF6AEFF"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78BB35CD" w14:textId="78A41CBD"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410BED50" w14:textId="5A461685"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23/00465/FUL</w:t>
            </w:r>
          </w:p>
        </w:tc>
        <w:tc>
          <w:tcPr>
            <w:tcW w:w="0" w:type="auto"/>
            <w:shd w:val="clear" w:color="auto" w:fill="FFFFFF" w:themeFill="background1"/>
          </w:tcPr>
          <w:p w14:paraId="019BE903" w14:textId="1671185E"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39A Westgate Street</w:t>
            </w:r>
          </w:p>
        </w:tc>
        <w:tc>
          <w:tcPr>
            <w:tcW w:w="0" w:type="auto"/>
            <w:shd w:val="clear" w:color="auto" w:fill="FFFFFF" w:themeFill="background1"/>
          </w:tcPr>
          <w:p w14:paraId="5546CE7D" w14:textId="17479197"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Westgate</w:t>
            </w:r>
          </w:p>
        </w:tc>
        <w:tc>
          <w:tcPr>
            <w:tcW w:w="0" w:type="auto"/>
            <w:shd w:val="clear" w:color="auto" w:fill="FFFFFF" w:themeFill="background1"/>
          </w:tcPr>
          <w:p w14:paraId="186C664F" w14:textId="0E9513C2"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w:t>
            </w:r>
          </w:p>
        </w:tc>
        <w:tc>
          <w:tcPr>
            <w:tcW w:w="0" w:type="auto"/>
            <w:shd w:val="clear" w:color="auto" w:fill="FFFFFF" w:themeFill="background1"/>
          </w:tcPr>
          <w:p w14:paraId="119D9BED" w14:textId="2D681976"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w:t>
            </w:r>
          </w:p>
        </w:tc>
        <w:tc>
          <w:tcPr>
            <w:tcW w:w="0" w:type="auto"/>
            <w:shd w:val="clear" w:color="auto" w:fill="FFFFFF" w:themeFill="background1"/>
          </w:tcPr>
          <w:p w14:paraId="6673818D" w14:textId="0B88A9B6"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783DEFBC" w14:textId="34430A1E"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7B23069D" w14:textId="1CD4A2AF"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09C1B70A" w14:textId="48DBF081"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6797B3CD" w14:textId="602B482C"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w:t>
            </w:r>
          </w:p>
        </w:tc>
      </w:tr>
      <w:tr w:rsidR="00104E16" w:rsidRPr="005F4AB5" w14:paraId="56F90ABB"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7425C8C" w14:textId="4AEF7007" w:rsidR="00CE5487" w:rsidRPr="005F4AB5" w:rsidRDefault="00CE5487" w:rsidP="00CE5487">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5EA98FA3" w14:textId="77777777"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27E5518F" w14:textId="29F84AEA"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2376A79A" w14:textId="355EBFA9"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1A0891D2" w14:textId="4DDACF39"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23/00786/LAW</w:t>
            </w:r>
          </w:p>
        </w:tc>
        <w:tc>
          <w:tcPr>
            <w:tcW w:w="0" w:type="auto"/>
            <w:shd w:val="clear" w:color="auto" w:fill="FFFFFF" w:themeFill="background1"/>
          </w:tcPr>
          <w:p w14:paraId="55CED4B8" w14:textId="0BC082E7"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126 Calton Road</w:t>
            </w:r>
          </w:p>
        </w:tc>
        <w:tc>
          <w:tcPr>
            <w:tcW w:w="0" w:type="auto"/>
            <w:shd w:val="clear" w:color="auto" w:fill="FFFFFF" w:themeFill="background1"/>
          </w:tcPr>
          <w:p w14:paraId="7AC36FDB" w14:textId="2FA91E54"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Moreland</w:t>
            </w:r>
          </w:p>
        </w:tc>
        <w:tc>
          <w:tcPr>
            <w:tcW w:w="0" w:type="auto"/>
            <w:shd w:val="clear" w:color="auto" w:fill="FFFFFF" w:themeFill="background1"/>
          </w:tcPr>
          <w:p w14:paraId="36A71CAB" w14:textId="0823AF47"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4403AC8E" w14:textId="53F719FA"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w:t>
            </w:r>
            <w:r w:rsidR="002870F3" w:rsidRPr="005F4AB5">
              <w:rPr>
                <w:sz w:val="20"/>
                <w:szCs w:val="20"/>
              </w:rPr>
              <w:t>0</w:t>
            </w:r>
          </w:p>
        </w:tc>
        <w:tc>
          <w:tcPr>
            <w:tcW w:w="0" w:type="auto"/>
            <w:shd w:val="clear" w:color="auto" w:fill="FFFFFF" w:themeFill="background1"/>
          </w:tcPr>
          <w:p w14:paraId="5BFF94A8" w14:textId="2DBB751D"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76F6DF66" w14:textId="0AE7EE14"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77E53B3F" w14:textId="2471E4A6"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301ECF02" w14:textId="38A654F6"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28F84197" w14:textId="777CB8FE"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0</w:t>
            </w:r>
          </w:p>
        </w:tc>
      </w:tr>
      <w:tr w:rsidR="00104E16" w:rsidRPr="005F4AB5" w14:paraId="2489574E"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B1D8FB6" w14:textId="0EEB8945" w:rsidR="00CE5487" w:rsidRPr="005F4AB5" w:rsidRDefault="00CE5487" w:rsidP="00CE5487">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7CFDCB7E" w14:textId="77777777"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281F028C" w14:textId="2F74A027"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48B18EFF" w14:textId="2830C9EB"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5EC7BA2E" w14:textId="5E4C8E8E"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23/00895/LAW</w:t>
            </w:r>
          </w:p>
        </w:tc>
        <w:tc>
          <w:tcPr>
            <w:tcW w:w="0" w:type="auto"/>
            <w:shd w:val="clear" w:color="auto" w:fill="FFFFFF" w:themeFill="background1"/>
          </w:tcPr>
          <w:p w14:paraId="2F3E65FB" w14:textId="736A8698"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55 Derby Road</w:t>
            </w:r>
          </w:p>
        </w:tc>
        <w:tc>
          <w:tcPr>
            <w:tcW w:w="0" w:type="auto"/>
            <w:shd w:val="clear" w:color="auto" w:fill="FFFFFF" w:themeFill="background1"/>
          </w:tcPr>
          <w:p w14:paraId="07DB1DE9" w14:textId="05FD5981"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xml:space="preserve">Barton &amp; Tredworth </w:t>
            </w:r>
          </w:p>
        </w:tc>
        <w:tc>
          <w:tcPr>
            <w:tcW w:w="0" w:type="auto"/>
            <w:shd w:val="clear" w:color="auto" w:fill="FFFFFF" w:themeFill="background1"/>
          </w:tcPr>
          <w:p w14:paraId="7C17314F" w14:textId="5C07FA4D"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20CB9059" w14:textId="22448119"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3C6D687F" w14:textId="08653553"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4C4E9286" w14:textId="7EA52C2F"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7D57F5F8" w14:textId="405D7C50"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32841C63" w14:textId="601641E0"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1141CE05" w14:textId="06D1CF87"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0</w:t>
            </w:r>
          </w:p>
        </w:tc>
      </w:tr>
      <w:tr w:rsidR="00104E16" w:rsidRPr="005F4AB5" w14:paraId="17BC63A9"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3E71BBC" w14:textId="1E968C77" w:rsidR="00CE5487" w:rsidRPr="005F4AB5" w:rsidRDefault="00CE5487" w:rsidP="00CE5487">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109773EB" w14:textId="77777777"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141FD151" w14:textId="1D46CB2D"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lastRenderedPageBreak/>
              <w:t>Detailed Planning</w:t>
            </w:r>
          </w:p>
        </w:tc>
        <w:tc>
          <w:tcPr>
            <w:tcW w:w="0" w:type="auto"/>
            <w:shd w:val="clear" w:color="auto" w:fill="FFFFFF" w:themeFill="background1"/>
          </w:tcPr>
          <w:p w14:paraId="23ADD7FC" w14:textId="3FED37CB"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lastRenderedPageBreak/>
              <w:t xml:space="preserve">Under construction </w:t>
            </w:r>
          </w:p>
        </w:tc>
        <w:tc>
          <w:tcPr>
            <w:tcW w:w="0" w:type="auto"/>
            <w:shd w:val="clear" w:color="auto" w:fill="FFFFFF" w:themeFill="background1"/>
          </w:tcPr>
          <w:p w14:paraId="5F43A3EE" w14:textId="3A05B70D"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23/00911/LAW</w:t>
            </w:r>
          </w:p>
        </w:tc>
        <w:tc>
          <w:tcPr>
            <w:tcW w:w="0" w:type="auto"/>
            <w:shd w:val="clear" w:color="auto" w:fill="FFFFFF" w:themeFill="background1"/>
          </w:tcPr>
          <w:p w14:paraId="40F4C2F1" w14:textId="58BA7BA4"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8 St Michaels Square</w:t>
            </w:r>
          </w:p>
        </w:tc>
        <w:tc>
          <w:tcPr>
            <w:tcW w:w="0" w:type="auto"/>
            <w:shd w:val="clear" w:color="auto" w:fill="FFFFFF" w:themeFill="background1"/>
          </w:tcPr>
          <w:p w14:paraId="08E77D75" w14:textId="635F6D4C"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Westgate</w:t>
            </w:r>
          </w:p>
        </w:tc>
        <w:tc>
          <w:tcPr>
            <w:tcW w:w="0" w:type="auto"/>
            <w:shd w:val="clear" w:color="auto" w:fill="FFFFFF" w:themeFill="background1"/>
          </w:tcPr>
          <w:p w14:paraId="33C4A62E" w14:textId="391A4F10"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1A2800CA" w14:textId="391953AE"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0BB30334" w14:textId="658A5ED6"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0 </w:t>
            </w:r>
          </w:p>
        </w:tc>
        <w:tc>
          <w:tcPr>
            <w:tcW w:w="0" w:type="auto"/>
            <w:shd w:val="clear" w:color="auto" w:fill="FFFFFF" w:themeFill="background1"/>
          </w:tcPr>
          <w:p w14:paraId="6D8E8FBF" w14:textId="219D0CC0"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112D7286" w14:textId="5D76D1E4"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178F33F5" w14:textId="50EA066A"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6BC8F719" w14:textId="3A132D35"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r>
      <w:tr w:rsidR="00104E16" w:rsidRPr="005F4AB5" w14:paraId="1E2C7F52"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147FB53" w14:textId="0A82344D" w:rsidR="00CE5487" w:rsidRPr="005F4AB5" w:rsidRDefault="00CE5487" w:rsidP="00CE5487">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401D2160" w14:textId="77777777"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31816A15" w14:textId="38962A94"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4CCF73AE" w14:textId="73EC4D46"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4D95C210" w14:textId="084C42EB"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23/01033/FUL</w:t>
            </w:r>
          </w:p>
        </w:tc>
        <w:tc>
          <w:tcPr>
            <w:tcW w:w="0" w:type="auto"/>
            <w:shd w:val="clear" w:color="auto" w:fill="FFFFFF" w:themeFill="background1"/>
          </w:tcPr>
          <w:p w14:paraId="0542B037" w14:textId="05261753"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St Aldate Chambers, 4 - 6 Russell Street</w:t>
            </w:r>
          </w:p>
        </w:tc>
        <w:tc>
          <w:tcPr>
            <w:tcW w:w="0" w:type="auto"/>
            <w:shd w:val="clear" w:color="auto" w:fill="FFFFFF" w:themeFill="background1"/>
          </w:tcPr>
          <w:p w14:paraId="6A6EDDA2" w14:textId="5EF0E8BB"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Westgate</w:t>
            </w:r>
          </w:p>
        </w:tc>
        <w:tc>
          <w:tcPr>
            <w:tcW w:w="0" w:type="auto"/>
            <w:shd w:val="clear" w:color="auto" w:fill="FFFFFF" w:themeFill="background1"/>
          </w:tcPr>
          <w:p w14:paraId="3A397DC6" w14:textId="4157F2A7"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w:t>
            </w:r>
          </w:p>
        </w:tc>
        <w:tc>
          <w:tcPr>
            <w:tcW w:w="0" w:type="auto"/>
            <w:shd w:val="clear" w:color="auto" w:fill="FFFFFF" w:themeFill="background1"/>
          </w:tcPr>
          <w:p w14:paraId="4A9ADA50" w14:textId="1BAC0B83"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w:t>
            </w:r>
          </w:p>
        </w:tc>
        <w:tc>
          <w:tcPr>
            <w:tcW w:w="0" w:type="auto"/>
            <w:shd w:val="clear" w:color="auto" w:fill="FFFFFF" w:themeFill="background1"/>
          </w:tcPr>
          <w:p w14:paraId="31B6108C" w14:textId="3510EE15"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30A58A66" w14:textId="20FED707"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59BB4617" w14:textId="325F06F3"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007CD4CC" w14:textId="3D04FAC2"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4FFC53ED" w14:textId="0CBA28D1"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w:t>
            </w:r>
          </w:p>
        </w:tc>
      </w:tr>
      <w:tr w:rsidR="00104E16" w:rsidRPr="005F4AB5" w14:paraId="1B16BE8E"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C1D3206" w14:textId="4B5D6AA5" w:rsidR="00CE5487" w:rsidRPr="005F4AB5" w:rsidRDefault="00CE5487" w:rsidP="00CE5487">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59D10B4A" w14:textId="77777777"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7714E3B9" w14:textId="43AAFD6F"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77711E59" w14:textId="11C96637"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49A63D22" w14:textId="70AFF900"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24/00254/PRIOR</w:t>
            </w:r>
          </w:p>
        </w:tc>
        <w:tc>
          <w:tcPr>
            <w:tcW w:w="0" w:type="auto"/>
            <w:shd w:val="clear" w:color="auto" w:fill="FFFFFF" w:themeFill="background1"/>
          </w:tcPr>
          <w:p w14:paraId="0984247C" w14:textId="21598F57"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141 High Street</w:t>
            </w:r>
          </w:p>
        </w:tc>
        <w:tc>
          <w:tcPr>
            <w:tcW w:w="0" w:type="auto"/>
            <w:shd w:val="clear" w:color="auto" w:fill="FFFFFF" w:themeFill="background1"/>
          </w:tcPr>
          <w:p w14:paraId="2D786870" w14:textId="5B1D2BE4"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xml:space="preserve">Barton &amp; Tredworth </w:t>
            </w:r>
          </w:p>
        </w:tc>
        <w:tc>
          <w:tcPr>
            <w:tcW w:w="0" w:type="auto"/>
            <w:shd w:val="clear" w:color="auto" w:fill="FFFFFF" w:themeFill="background1"/>
          </w:tcPr>
          <w:p w14:paraId="7F4B5DC9" w14:textId="6604C256"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0959E4B4" w14:textId="32425724"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58A78A75" w14:textId="4D40412B"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2E7785C5" w14:textId="6B8BE0A3"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3A53932F" w14:textId="029A5A12"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334249E4" w14:textId="0314ADB0"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1119852D" w14:textId="5CBC963E"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r>
      <w:tr w:rsidR="00104E16" w:rsidRPr="005F4AB5" w14:paraId="2B4E0268"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29911B2" w14:textId="76630C1E" w:rsidR="00CE5487" w:rsidRPr="005F4AB5" w:rsidRDefault="00CE5487" w:rsidP="00CE5487">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50D4C752" w14:textId="77777777"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5548B7C6" w14:textId="0DEF6856"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61BF0629" w14:textId="34827306"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785C4DEC" w14:textId="29F067B8"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24/00389/FUL</w:t>
            </w:r>
          </w:p>
        </w:tc>
        <w:tc>
          <w:tcPr>
            <w:tcW w:w="0" w:type="auto"/>
            <w:shd w:val="clear" w:color="auto" w:fill="FFFFFF" w:themeFill="background1"/>
          </w:tcPr>
          <w:p w14:paraId="082660AE" w14:textId="03DCBB53"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xml:space="preserve">5 Denmark Road (Hillfield House) </w:t>
            </w:r>
          </w:p>
        </w:tc>
        <w:tc>
          <w:tcPr>
            <w:tcW w:w="0" w:type="auto"/>
            <w:shd w:val="clear" w:color="auto" w:fill="FFFFFF" w:themeFill="background1"/>
          </w:tcPr>
          <w:p w14:paraId="4357B61F" w14:textId="0929C17E"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Kingsholm &amp; Wotton</w:t>
            </w:r>
          </w:p>
        </w:tc>
        <w:tc>
          <w:tcPr>
            <w:tcW w:w="0" w:type="auto"/>
            <w:shd w:val="clear" w:color="auto" w:fill="FFFFFF" w:themeFill="background1"/>
          </w:tcPr>
          <w:p w14:paraId="16F2A4F9" w14:textId="5FA05CFE"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75AF9289" w14:textId="3615BC8C"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6B9586CE" w14:textId="3E5E9328"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6261828C" w14:textId="7035B6C9"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51DA1C7C" w14:textId="767E0415"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3783A2E7" w14:textId="4B57D7CF"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500D5A4C" w14:textId="49DCAAD4"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r>
      <w:tr w:rsidR="00104E16" w:rsidRPr="005F4AB5" w14:paraId="1F076BA7"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ABF1FBA" w14:textId="0B838779" w:rsidR="00CE5487" w:rsidRPr="005F4AB5" w:rsidRDefault="00CE5487" w:rsidP="00CE5487">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4FF0DBB6" w14:textId="77777777"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41311B81" w14:textId="6629BC24"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13F90426" w14:textId="6A23A7EA"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5320E8F1" w14:textId="06C7B4EB"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24/00435/PRIOR</w:t>
            </w:r>
          </w:p>
        </w:tc>
        <w:tc>
          <w:tcPr>
            <w:tcW w:w="0" w:type="auto"/>
            <w:shd w:val="clear" w:color="auto" w:fill="FFFFFF" w:themeFill="background1"/>
          </w:tcPr>
          <w:p w14:paraId="309535CD" w14:textId="460B13E7"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xml:space="preserve">36 and 38 Brunswick Road </w:t>
            </w:r>
          </w:p>
        </w:tc>
        <w:tc>
          <w:tcPr>
            <w:tcW w:w="0" w:type="auto"/>
            <w:shd w:val="clear" w:color="auto" w:fill="FFFFFF" w:themeFill="background1"/>
          </w:tcPr>
          <w:p w14:paraId="673DC18D" w14:textId="21F0B553"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xml:space="preserve">Westgate </w:t>
            </w:r>
          </w:p>
        </w:tc>
        <w:tc>
          <w:tcPr>
            <w:tcW w:w="0" w:type="auto"/>
            <w:shd w:val="clear" w:color="auto" w:fill="FFFFFF" w:themeFill="background1"/>
          </w:tcPr>
          <w:p w14:paraId="47373462" w14:textId="261C70DD"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w:t>
            </w:r>
          </w:p>
        </w:tc>
        <w:tc>
          <w:tcPr>
            <w:tcW w:w="0" w:type="auto"/>
            <w:shd w:val="clear" w:color="auto" w:fill="FFFFFF" w:themeFill="background1"/>
          </w:tcPr>
          <w:p w14:paraId="2BE17E9A" w14:textId="7AEF10BC"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04C29C1C" w14:textId="422C73AD"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38EBA08F" w14:textId="57B23AAC"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427B653E" w14:textId="5B6F8587"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12E7C674" w14:textId="03FEF3C0"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60B51C31" w14:textId="1869BBC6" w:rsidR="00CE5487" w:rsidRPr="005F4AB5" w:rsidRDefault="00605300"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lang w:val="en-GB" w:eastAsia="en-GB"/>
              </w:rPr>
              <w:t>1</w:t>
            </w:r>
          </w:p>
        </w:tc>
      </w:tr>
      <w:tr w:rsidR="00104E16" w:rsidRPr="005F4AB5" w14:paraId="584C2918"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AB9B610" w14:textId="74ED98FE" w:rsidR="00CE5487" w:rsidRPr="005F4AB5" w:rsidRDefault="00CE5487" w:rsidP="00CE5487">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5A133212" w14:textId="77777777"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418A8032" w14:textId="2D74C8A9"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7964C5B8" w14:textId="7442D95A"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2A020F98" w14:textId="36746241"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24/00604/FUL</w:t>
            </w:r>
          </w:p>
        </w:tc>
        <w:tc>
          <w:tcPr>
            <w:tcW w:w="0" w:type="auto"/>
            <w:shd w:val="clear" w:color="auto" w:fill="FFFFFF" w:themeFill="background1"/>
          </w:tcPr>
          <w:p w14:paraId="2C1CF57D" w14:textId="320759F6"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51 Westgate Street</w:t>
            </w:r>
          </w:p>
        </w:tc>
        <w:tc>
          <w:tcPr>
            <w:tcW w:w="0" w:type="auto"/>
            <w:shd w:val="clear" w:color="auto" w:fill="FFFFFF" w:themeFill="background1"/>
          </w:tcPr>
          <w:p w14:paraId="6E0289E2" w14:textId="2A68ED9F"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xml:space="preserve">Westgate </w:t>
            </w:r>
          </w:p>
        </w:tc>
        <w:tc>
          <w:tcPr>
            <w:tcW w:w="0" w:type="auto"/>
            <w:shd w:val="clear" w:color="auto" w:fill="FFFFFF" w:themeFill="background1"/>
          </w:tcPr>
          <w:p w14:paraId="72709C42" w14:textId="2C229A0A"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6527853D" w14:textId="4062003F"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382F5957" w14:textId="4FF341B4"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0B8332D4" w14:textId="6B81C9D9"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4341A8C9" w14:textId="60626C2D"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48F50295" w14:textId="66D9C52B"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7A70E69E" w14:textId="59666E89"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r>
      <w:tr w:rsidR="00104E16" w:rsidRPr="005F4AB5" w14:paraId="584615FC"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CD1548F" w14:textId="4399495B" w:rsidR="00CE5487" w:rsidRPr="005F4AB5" w:rsidRDefault="00CE5487" w:rsidP="00CE5487">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6AA0050B" w14:textId="77777777"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05A5DFCC" w14:textId="17EE60CC"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478753AD" w14:textId="2F0437DE"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2DA1E106" w14:textId="29EA2B03"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24/00730/PRIOR</w:t>
            </w:r>
          </w:p>
        </w:tc>
        <w:tc>
          <w:tcPr>
            <w:tcW w:w="0" w:type="auto"/>
            <w:shd w:val="clear" w:color="auto" w:fill="FFFFFF" w:themeFill="background1"/>
          </w:tcPr>
          <w:p w14:paraId="36428077" w14:textId="5F13126C"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32 - 34 Westgate Street - Former Poundstretcher</w:t>
            </w:r>
          </w:p>
        </w:tc>
        <w:tc>
          <w:tcPr>
            <w:tcW w:w="0" w:type="auto"/>
            <w:shd w:val="clear" w:color="auto" w:fill="FFFFFF" w:themeFill="background1"/>
          </w:tcPr>
          <w:p w14:paraId="3047348A" w14:textId="1670B6A5"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xml:space="preserve">Westgate </w:t>
            </w:r>
          </w:p>
        </w:tc>
        <w:tc>
          <w:tcPr>
            <w:tcW w:w="0" w:type="auto"/>
            <w:shd w:val="clear" w:color="auto" w:fill="FFFFFF" w:themeFill="background1"/>
          </w:tcPr>
          <w:p w14:paraId="36B76DC5" w14:textId="467C3D9C"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3</w:t>
            </w:r>
          </w:p>
        </w:tc>
        <w:tc>
          <w:tcPr>
            <w:tcW w:w="0" w:type="auto"/>
            <w:shd w:val="clear" w:color="auto" w:fill="FFFFFF" w:themeFill="background1"/>
          </w:tcPr>
          <w:p w14:paraId="35FAFE07" w14:textId="0AB045C9"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0</w:t>
            </w:r>
          </w:p>
        </w:tc>
        <w:tc>
          <w:tcPr>
            <w:tcW w:w="0" w:type="auto"/>
            <w:shd w:val="clear" w:color="auto" w:fill="FFFFFF" w:themeFill="background1"/>
          </w:tcPr>
          <w:p w14:paraId="78F015C0" w14:textId="7D58E8D4"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3</w:t>
            </w:r>
          </w:p>
        </w:tc>
        <w:tc>
          <w:tcPr>
            <w:tcW w:w="0" w:type="auto"/>
            <w:shd w:val="clear" w:color="auto" w:fill="FFFFFF" w:themeFill="background1"/>
          </w:tcPr>
          <w:p w14:paraId="2D7F6455" w14:textId="6D298337"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0B38D4D8" w14:textId="3ADCD5E9"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1E4A0C48" w14:textId="4B6DFA35"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19C5E746" w14:textId="49AB7654" w:rsidR="00CE5487" w:rsidRPr="005F4AB5" w:rsidRDefault="00CE5487" w:rsidP="00CE5487">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3</w:t>
            </w:r>
          </w:p>
        </w:tc>
      </w:tr>
      <w:tr w:rsidR="00104E16" w:rsidRPr="005F4AB5" w14:paraId="38663DBE"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3C64F2C" w14:textId="4FE01D9C" w:rsidR="00CE5487" w:rsidRPr="005F4AB5" w:rsidRDefault="00CE5487" w:rsidP="00CE5487">
            <w:pPr>
              <w:widowControl/>
              <w:autoSpaceDE/>
              <w:autoSpaceDN/>
              <w:rPr>
                <w:rFonts w:eastAsia="Times New Roman"/>
                <w:sz w:val="20"/>
                <w:szCs w:val="20"/>
                <w:lang w:val="en-GB" w:eastAsia="en-GB"/>
              </w:rPr>
            </w:pPr>
            <w:r w:rsidRPr="005F4AB5">
              <w:rPr>
                <w:rFonts w:eastAsia="Times New Roman"/>
                <w:sz w:val="20"/>
                <w:szCs w:val="20"/>
                <w:lang w:val="en-GB" w:eastAsia="en-GB"/>
              </w:rPr>
              <w:t>D</w:t>
            </w:r>
          </w:p>
        </w:tc>
        <w:tc>
          <w:tcPr>
            <w:tcW w:w="0" w:type="auto"/>
            <w:shd w:val="clear" w:color="auto" w:fill="FFFFFF" w:themeFill="background1"/>
          </w:tcPr>
          <w:p w14:paraId="63DCBAF8" w14:textId="77777777"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39D810AB" w14:textId="25FD9902"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Detailed Planning</w:t>
            </w:r>
          </w:p>
        </w:tc>
        <w:tc>
          <w:tcPr>
            <w:tcW w:w="0" w:type="auto"/>
            <w:shd w:val="clear" w:color="auto" w:fill="FFFFFF" w:themeFill="background1"/>
          </w:tcPr>
          <w:p w14:paraId="3104471D" w14:textId="0CE39E32"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Under construction </w:t>
            </w:r>
          </w:p>
        </w:tc>
        <w:tc>
          <w:tcPr>
            <w:tcW w:w="0" w:type="auto"/>
            <w:shd w:val="clear" w:color="auto" w:fill="FFFFFF" w:themeFill="background1"/>
          </w:tcPr>
          <w:p w14:paraId="0C28F8F5" w14:textId="1780CBF0"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24/00736/FUL</w:t>
            </w:r>
          </w:p>
        </w:tc>
        <w:tc>
          <w:tcPr>
            <w:tcW w:w="0" w:type="auto"/>
            <w:shd w:val="clear" w:color="auto" w:fill="FFFFFF" w:themeFill="background1"/>
          </w:tcPr>
          <w:p w14:paraId="1AE3852E" w14:textId="79B6B430"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27 Falkner Street</w:t>
            </w:r>
          </w:p>
        </w:tc>
        <w:tc>
          <w:tcPr>
            <w:tcW w:w="0" w:type="auto"/>
            <w:shd w:val="clear" w:color="auto" w:fill="FFFFFF" w:themeFill="background1"/>
          </w:tcPr>
          <w:p w14:paraId="2578F5B4" w14:textId="7D1B8F29"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xml:space="preserve">Barton &amp; Tredworth </w:t>
            </w:r>
          </w:p>
        </w:tc>
        <w:tc>
          <w:tcPr>
            <w:tcW w:w="0" w:type="auto"/>
            <w:shd w:val="clear" w:color="auto" w:fill="FFFFFF" w:themeFill="background1"/>
          </w:tcPr>
          <w:p w14:paraId="2C76B283" w14:textId="27546A8E"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60AB274D" w14:textId="2771DBC8"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c>
          <w:tcPr>
            <w:tcW w:w="0" w:type="auto"/>
            <w:shd w:val="clear" w:color="auto" w:fill="FFFFFF" w:themeFill="background1"/>
          </w:tcPr>
          <w:p w14:paraId="210F9B67" w14:textId="42CD1033"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0</w:t>
            </w:r>
          </w:p>
        </w:tc>
        <w:tc>
          <w:tcPr>
            <w:tcW w:w="0" w:type="auto"/>
            <w:shd w:val="clear" w:color="auto" w:fill="FFFFFF" w:themeFill="background1"/>
          </w:tcPr>
          <w:p w14:paraId="6EC97D81" w14:textId="6C9BB8B5"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42E0BBD1" w14:textId="45072423"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429227CD" w14:textId="55249932"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7C0DCC5E" w14:textId="51E75852" w:rsidR="00CE5487" w:rsidRPr="005F4AB5" w:rsidRDefault="00CE5487" w:rsidP="00CE5487">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1</w:t>
            </w:r>
          </w:p>
        </w:tc>
      </w:tr>
      <w:tr w:rsidR="00104E16" w:rsidRPr="005F4AB5" w14:paraId="57EF39CC"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55B64C9" w14:textId="03DABBCA" w:rsidR="00625158" w:rsidRPr="005F4AB5" w:rsidRDefault="008D29F0" w:rsidP="00B950A5">
            <w:pPr>
              <w:widowControl/>
              <w:autoSpaceDE/>
              <w:autoSpaceDN/>
              <w:rPr>
                <w:rFonts w:eastAsia="Times New Roman"/>
                <w:sz w:val="20"/>
                <w:szCs w:val="20"/>
                <w:lang w:val="en-GB" w:eastAsia="en-GB"/>
              </w:rPr>
            </w:pPr>
            <w:r w:rsidRPr="005F4AB5">
              <w:rPr>
                <w:rFonts w:eastAsia="Times New Roman"/>
                <w:sz w:val="20"/>
                <w:szCs w:val="20"/>
                <w:lang w:val="en-GB" w:eastAsia="en-GB"/>
              </w:rPr>
              <w:t>E</w:t>
            </w:r>
          </w:p>
        </w:tc>
        <w:tc>
          <w:tcPr>
            <w:tcW w:w="0" w:type="auto"/>
            <w:shd w:val="clear" w:color="auto" w:fill="FFFFFF" w:themeFill="background1"/>
          </w:tcPr>
          <w:p w14:paraId="46E95C92" w14:textId="77777777" w:rsidR="00625158" w:rsidRPr="005F4AB5" w:rsidRDefault="00B950A5" w:rsidP="00B950A5">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Small site:</w:t>
            </w:r>
          </w:p>
          <w:p w14:paraId="5E3646CA" w14:textId="0A93FB70" w:rsidR="00B950A5" w:rsidRPr="005F4AB5" w:rsidRDefault="00B950A5" w:rsidP="00B950A5">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Windfall analysis</w:t>
            </w:r>
          </w:p>
        </w:tc>
        <w:tc>
          <w:tcPr>
            <w:tcW w:w="0" w:type="auto"/>
            <w:shd w:val="clear" w:color="auto" w:fill="FFFFFF" w:themeFill="background1"/>
          </w:tcPr>
          <w:p w14:paraId="63469011" w14:textId="6A21A877" w:rsidR="00625158" w:rsidRPr="005F4AB5" w:rsidRDefault="00B950A5" w:rsidP="00B950A5">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w:t>
            </w:r>
          </w:p>
        </w:tc>
        <w:tc>
          <w:tcPr>
            <w:tcW w:w="0" w:type="auto"/>
            <w:shd w:val="clear" w:color="auto" w:fill="FFFFFF" w:themeFill="background1"/>
          </w:tcPr>
          <w:p w14:paraId="2511D077" w14:textId="2848C096" w:rsidR="00625158" w:rsidRPr="005F4AB5" w:rsidRDefault="00B950A5" w:rsidP="00B950A5">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w:t>
            </w:r>
          </w:p>
        </w:tc>
        <w:tc>
          <w:tcPr>
            <w:tcW w:w="0" w:type="auto"/>
            <w:shd w:val="clear" w:color="auto" w:fill="FFFFFF" w:themeFill="background1"/>
          </w:tcPr>
          <w:p w14:paraId="37773B79" w14:textId="0A110ECA" w:rsidR="00625158" w:rsidRPr="005F4AB5" w:rsidRDefault="00B950A5" w:rsidP="00B950A5">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w:t>
            </w:r>
          </w:p>
        </w:tc>
        <w:tc>
          <w:tcPr>
            <w:tcW w:w="0" w:type="auto"/>
            <w:shd w:val="clear" w:color="auto" w:fill="FFFFFF" w:themeFill="background1"/>
          </w:tcPr>
          <w:p w14:paraId="74316D6A" w14:textId="4B711C1F" w:rsidR="00625158" w:rsidRPr="005F4AB5" w:rsidRDefault="00B950A5" w:rsidP="00B950A5">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w:t>
            </w:r>
          </w:p>
        </w:tc>
        <w:tc>
          <w:tcPr>
            <w:tcW w:w="0" w:type="auto"/>
            <w:shd w:val="clear" w:color="auto" w:fill="FFFFFF" w:themeFill="background1"/>
          </w:tcPr>
          <w:p w14:paraId="273F8142" w14:textId="24C6032B" w:rsidR="00625158" w:rsidRPr="005F4AB5" w:rsidRDefault="00B950A5" w:rsidP="00B950A5">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126</w:t>
            </w:r>
          </w:p>
        </w:tc>
        <w:tc>
          <w:tcPr>
            <w:tcW w:w="0" w:type="auto"/>
            <w:shd w:val="clear" w:color="auto" w:fill="FFFFFF" w:themeFill="background1"/>
          </w:tcPr>
          <w:p w14:paraId="4A4E7D4B" w14:textId="2A64DA42" w:rsidR="00625158" w:rsidRPr="005F4AB5" w:rsidRDefault="00B950A5" w:rsidP="00B950A5">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4029888D" w14:textId="7A15D9C9" w:rsidR="00625158" w:rsidRPr="005F4AB5" w:rsidRDefault="00B950A5" w:rsidP="00B950A5">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14686F0E" w14:textId="402C891E" w:rsidR="00625158" w:rsidRPr="005F4AB5" w:rsidRDefault="00B950A5" w:rsidP="00B950A5">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42</w:t>
            </w:r>
          </w:p>
        </w:tc>
        <w:tc>
          <w:tcPr>
            <w:tcW w:w="0" w:type="auto"/>
            <w:shd w:val="clear" w:color="auto" w:fill="FFFFFF" w:themeFill="background1"/>
          </w:tcPr>
          <w:p w14:paraId="057919CC" w14:textId="7DA2D8D7" w:rsidR="00625158" w:rsidRPr="005F4AB5" w:rsidRDefault="00B950A5" w:rsidP="00B950A5">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42</w:t>
            </w:r>
          </w:p>
        </w:tc>
        <w:tc>
          <w:tcPr>
            <w:tcW w:w="0" w:type="auto"/>
            <w:shd w:val="clear" w:color="auto" w:fill="FFFFFF" w:themeFill="background1"/>
          </w:tcPr>
          <w:p w14:paraId="11DF52F2" w14:textId="3491963F" w:rsidR="00625158" w:rsidRPr="005F4AB5" w:rsidRDefault="00B950A5" w:rsidP="00B950A5">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42</w:t>
            </w:r>
          </w:p>
        </w:tc>
        <w:tc>
          <w:tcPr>
            <w:tcW w:w="0" w:type="auto"/>
            <w:shd w:val="clear" w:color="auto" w:fill="FFFFFF" w:themeFill="background1"/>
            <w:noWrap/>
          </w:tcPr>
          <w:p w14:paraId="3F7DCB5B" w14:textId="44CD1BD9" w:rsidR="00625158" w:rsidRPr="005F4AB5" w:rsidRDefault="00B950A5" w:rsidP="00B950A5">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126</w:t>
            </w:r>
          </w:p>
        </w:tc>
      </w:tr>
      <w:tr w:rsidR="00104E16" w:rsidRPr="005F4AB5" w14:paraId="290B1A0E"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F893BDA" w14:textId="5B7455B9" w:rsidR="009D64FD" w:rsidRPr="005F4AB5" w:rsidRDefault="009D64FD" w:rsidP="009D64FD">
            <w:pPr>
              <w:widowControl/>
              <w:autoSpaceDE/>
              <w:autoSpaceDN/>
              <w:rPr>
                <w:rFonts w:eastAsia="Times New Roman"/>
                <w:sz w:val="20"/>
                <w:szCs w:val="20"/>
                <w:lang w:val="en-GB" w:eastAsia="en-GB"/>
              </w:rPr>
            </w:pPr>
            <w:r w:rsidRPr="005F4AB5">
              <w:rPr>
                <w:rFonts w:eastAsia="Times New Roman"/>
                <w:sz w:val="20"/>
                <w:szCs w:val="20"/>
                <w:lang w:val="en-GB" w:eastAsia="en-GB"/>
              </w:rPr>
              <w:t>F</w:t>
            </w:r>
          </w:p>
        </w:tc>
        <w:tc>
          <w:tcPr>
            <w:tcW w:w="0" w:type="auto"/>
            <w:shd w:val="clear" w:color="auto" w:fill="FFFFFF" w:themeFill="background1"/>
          </w:tcPr>
          <w:p w14:paraId="1EC9CD86" w14:textId="1D6D2642" w:rsidR="009D64FD" w:rsidRPr="005F4AB5" w:rsidRDefault="009D64FD" w:rsidP="009D64F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Gloucester City  Plan Allocations without planning permission</w:t>
            </w:r>
          </w:p>
        </w:tc>
        <w:tc>
          <w:tcPr>
            <w:tcW w:w="0" w:type="auto"/>
            <w:shd w:val="clear" w:color="auto" w:fill="FFFFFF" w:themeFill="background1"/>
          </w:tcPr>
          <w:p w14:paraId="3EDE516A" w14:textId="6C2D36E2" w:rsidR="009D64FD" w:rsidRPr="005F4AB5" w:rsidRDefault="009D64FD" w:rsidP="009D64F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Allocated – not started</w:t>
            </w:r>
          </w:p>
        </w:tc>
        <w:tc>
          <w:tcPr>
            <w:tcW w:w="0" w:type="auto"/>
            <w:shd w:val="clear" w:color="auto" w:fill="FFFFFF" w:themeFill="background1"/>
          </w:tcPr>
          <w:p w14:paraId="71E63123" w14:textId="495AA70D" w:rsidR="009D64FD" w:rsidRPr="005F4AB5" w:rsidRDefault="009D64FD" w:rsidP="009D64F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w:t>
            </w:r>
          </w:p>
        </w:tc>
        <w:tc>
          <w:tcPr>
            <w:tcW w:w="0" w:type="auto"/>
            <w:shd w:val="clear" w:color="auto" w:fill="FFFFFF" w:themeFill="background1"/>
          </w:tcPr>
          <w:p w14:paraId="26F7FF8E" w14:textId="3FD33C0D" w:rsidR="009D64FD" w:rsidRPr="005F4AB5" w:rsidRDefault="009D64FD" w:rsidP="009D64F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Wessex House, Great Western Road</w:t>
            </w:r>
          </w:p>
        </w:tc>
        <w:tc>
          <w:tcPr>
            <w:tcW w:w="0" w:type="auto"/>
            <w:shd w:val="clear" w:color="auto" w:fill="FFFFFF" w:themeFill="background1"/>
          </w:tcPr>
          <w:p w14:paraId="1313BD89" w14:textId="62360A63" w:rsidR="009D64FD" w:rsidRPr="005F4AB5" w:rsidRDefault="009D64FD" w:rsidP="009D64F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Kingsholm &amp; Wotton</w:t>
            </w:r>
          </w:p>
        </w:tc>
        <w:tc>
          <w:tcPr>
            <w:tcW w:w="0" w:type="auto"/>
            <w:shd w:val="clear" w:color="auto" w:fill="FFFFFF" w:themeFill="background1"/>
          </w:tcPr>
          <w:p w14:paraId="775AE72A" w14:textId="14B7895A" w:rsidR="009D64FD" w:rsidRPr="005F4AB5" w:rsidRDefault="009D64FD" w:rsidP="009D64F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40</w:t>
            </w:r>
          </w:p>
        </w:tc>
        <w:tc>
          <w:tcPr>
            <w:tcW w:w="0" w:type="auto"/>
            <w:shd w:val="clear" w:color="auto" w:fill="FFFFFF" w:themeFill="background1"/>
          </w:tcPr>
          <w:p w14:paraId="75633183" w14:textId="13EEE501" w:rsidR="009D64FD" w:rsidRPr="005F4AB5" w:rsidRDefault="009D64FD" w:rsidP="009D64F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796F6725" w14:textId="4ED4073E" w:rsidR="009D64FD" w:rsidRPr="005F4AB5" w:rsidRDefault="009D64FD" w:rsidP="009D64F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41D500AF" w14:textId="3726B1FC" w:rsidR="009D64FD" w:rsidRPr="005F4AB5" w:rsidRDefault="009D64FD" w:rsidP="009D64F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2388185C" w14:textId="50781BDB" w:rsidR="009D64FD" w:rsidRPr="005F4AB5" w:rsidRDefault="009D64FD" w:rsidP="009D64F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30</w:t>
            </w:r>
          </w:p>
        </w:tc>
        <w:tc>
          <w:tcPr>
            <w:tcW w:w="0" w:type="auto"/>
            <w:shd w:val="clear" w:color="auto" w:fill="FFFFFF" w:themeFill="background1"/>
          </w:tcPr>
          <w:p w14:paraId="371B52A5" w14:textId="42E6BA7E" w:rsidR="009D64FD" w:rsidRPr="005F4AB5" w:rsidRDefault="009D64FD" w:rsidP="009D64F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10</w:t>
            </w:r>
          </w:p>
        </w:tc>
        <w:tc>
          <w:tcPr>
            <w:tcW w:w="0" w:type="auto"/>
            <w:shd w:val="clear" w:color="auto" w:fill="FFFFFF" w:themeFill="background1"/>
            <w:noWrap/>
          </w:tcPr>
          <w:p w14:paraId="2E3E59E3" w14:textId="4EFE7C2F" w:rsidR="009D64FD" w:rsidRPr="005F4AB5" w:rsidRDefault="009D64FD" w:rsidP="009D64F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40</w:t>
            </w:r>
          </w:p>
        </w:tc>
      </w:tr>
      <w:tr w:rsidR="00104E16" w:rsidRPr="005F4AB5" w14:paraId="79978DC2"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9F35498" w14:textId="496F6274" w:rsidR="009D64FD" w:rsidRPr="005F4AB5" w:rsidRDefault="009D64FD" w:rsidP="009D64FD">
            <w:pPr>
              <w:widowControl/>
              <w:autoSpaceDE/>
              <w:autoSpaceDN/>
              <w:rPr>
                <w:rFonts w:eastAsia="Times New Roman"/>
                <w:sz w:val="20"/>
                <w:szCs w:val="20"/>
                <w:lang w:val="en-GB" w:eastAsia="en-GB"/>
              </w:rPr>
            </w:pPr>
            <w:r w:rsidRPr="005F4AB5">
              <w:rPr>
                <w:rFonts w:eastAsia="Times New Roman"/>
                <w:sz w:val="20"/>
                <w:szCs w:val="20"/>
                <w:lang w:val="en-GB" w:eastAsia="en-GB"/>
              </w:rPr>
              <w:t>F</w:t>
            </w:r>
          </w:p>
        </w:tc>
        <w:tc>
          <w:tcPr>
            <w:tcW w:w="0" w:type="auto"/>
            <w:shd w:val="clear" w:color="auto" w:fill="FFFFFF" w:themeFill="background1"/>
          </w:tcPr>
          <w:p w14:paraId="770105F6" w14:textId="5120CEC9" w:rsidR="009D64FD" w:rsidRPr="005F4AB5" w:rsidRDefault="009D64FD" w:rsidP="009D64F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Gloucester City  Plan Allocations without planning permission</w:t>
            </w:r>
          </w:p>
        </w:tc>
        <w:tc>
          <w:tcPr>
            <w:tcW w:w="0" w:type="auto"/>
            <w:shd w:val="clear" w:color="auto" w:fill="FFFFFF" w:themeFill="background1"/>
          </w:tcPr>
          <w:p w14:paraId="7D4E97CA" w14:textId="0928DCD4" w:rsidR="009D64FD" w:rsidRPr="005F4AB5" w:rsidRDefault="009D64FD" w:rsidP="009D64F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Allocated – not started</w:t>
            </w:r>
          </w:p>
        </w:tc>
        <w:tc>
          <w:tcPr>
            <w:tcW w:w="0" w:type="auto"/>
            <w:shd w:val="clear" w:color="auto" w:fill="FFFFFF" w:themeFill="background1"/>
          </w:tcPr>
          <w:p w14:paraId="4B22101A" w14:textId="35C78101" w:rsidR="009D64FD" w:rsidRPr="005F4AB5" w:rsidRDefault="009D64FD" w:rsidP="009D64F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w:t>
            </w:r>
          </w:p>
        </w:tc>
        <w:tc>
          <w:tcPr>
            <w:tcW w:w="0" w:type="auto"/>
            <w:shd w:val="clear" w:color="auto" w:fill="FFFFFF" w:themeFill="background1"/>
          </w:tcPr>
          <w:p w14:paraId="74D088B0" w14:textId="25B3945E" w:rsidR="009D64FD" w:rsidRPr="005F4AB5" w:rsidRDefault="009D64FD" w:rsidP="009D64F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Former Quayside House - Greater Blackfriars</w:t>
            </w:r>
          </w:p>
        </w:tc>
        <w:tc>
          <w:tcPr>
            <w:tcW w:w="0" w:type="auto"/>
            <w:shd w:val="clear" w:color="auto" w:fill="FFFFFF" w:themeFill="background1"/>
          </w:tcPr>
          <w:p w14:paraId="7F18C092" w14:textId="4E396330" w:rsidR="009D64FD" w:rsidRPr="005F4AB5" w:rsidRDefault="009D64FD" w:rsidP="009D64F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Westgate</w:t>
            </w:r>
          </w:p>
        </w:tc>
        <w:tc>
          <w:tcPr>
            <w:tcW w:w="0" w:type="auto"/>
            <w:shd w:val="clear" w:color="auto" w:fill="FFFFFF" w:themeFill="background1"/>
          </w:tcPr>
          <w:p w14:paraId="73A08BF5" w14:textId="48918273" w:rsidR="009D64FD" w:rsidRPr="005F4AB5" w:rsidRDefault="009D64FD" w:rsidP="009D64F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50</w:t>
            </w:r>
          </w:p>
        </w:tc>
        <w:tc>
          <w:tcPr>
            <w:tcW w:w="0" w:type="auto"/>
            <w:shd w:val="clear" w:color="auto" w:fill="FFFFFF" w:themeFill="background1"/>
          </w:tcPr>
          <w:p w14:paraId="71263DFF" w14:textId="11464BF3" w:rsidR="009D64FD" w:rsidRPr="005F4AB5" w:rsidRDefault="009D64FD" w:rsidP="009D64F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6325538D" w14:textId="50DC5868" w:rsidR="009D64FD" w:rsidRPr="005F4AB5" w:rsidRDefault="009D64FD" w:rsidP="009D64F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2A032210" w14:textId="3038714A" w:rsidR="009D64FD" w:rsidRPr="005F4AB5" w:rsidRDefault="009D64FD" w:rsidP="009D64F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553E917C" w14:textId="6DAF6010" w:rsidR="009D64FD" w:rsidRPr="005F4AB5" w:rsidRDefault="009D64FD" w:rsidP="009D64F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25</w:t>
            </w:r>
          </w:p>
        </w:tc>
        <w:tc>
          <w:tcPr>
            <w:tcW w:w="0" w:type="auto"/>
            <w:shd w:val="clear" w:color="auto" w:fill="FFFFFF" w:themeFill="background1"/>
          </w:tcPr>
          <w:p w14:paraId="5C601B6F" w14:textId="7195569C" w:rsidR="009D64FD" w:rsidRPr="005F4AB5" w:rsidRDefault="009D64FD" w:rsidP="009D64F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25</w:t>
            </w:r>
          </w:p>
        </w:tc>
        <w:tc>
          <w:tcPr>
            <w:tcW w:w="0" w:type="auto"/>
            <w:shd w:val="clear" w:color="auto" w:fill="FFFFFF" w:themeFill="background1"/>
            <w:noWrap/>
          </w:tcPr>
          <w:p w14:paraId="6E0965E9" w14:textId="76864791" w:rsidR="009D64FD" w:rsidRPr="005F4AB5" w:rsidRDefault="009D64FD" w:rsidP="009D64F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50</w:t>
            </w:r>
          </w:p>
        </w:tc>
      </w:tr>
      <w:tr w:rsidR="00104E16" w:rsidRPr="005F4AB5" w14:paraId="0555DE22"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6263DE4" w14:textId="2FA53141" w:rsidR="009D64FD" w:rsidRPr="005F4AB5" w:rsidRDefault="009D64FD" w:rsidP="009D64FD">
            <w:pPr>
              <w:widowControl/>
              <w:autoSpaceDE/>
              <w:autoSpaceDN/>
              <w:rPr>
                <w:rFonts w:eastAsia="Times New Roman"/>
                <w:sz w:val="20"/>
                <w:szCs w:val="20"/>
                <w:lang w:val="en-GB" w:eastAsia="en-GB"/>
              </w:rPr>
            </w:pPr>
            <w:r w:rsidRPr="005F4AB5">
              <w:rPr>
                <w:rFonts w:eastAsia="Times New Roman"/>
                <w:sz w:val="20"/>
                <w:szCs w:val="20"/>
                <w:lang w:val="en-GB" w:eastAsia="en-GB"/>
              </w:rPr>
              <w:lastRenderedPageBreak/>
              <w:t>F</w:t>
            </w:r>
          </w:p>
        </w:tc>
        <w:tc>
          <w:tcPr>
            <w:tcW w:w="0" w:type="auto"/>
            <w:shd w:val="clear" w:color="auto" w:fill="FFFFFF" w:themeFill="background1"/>
          </w:tcPr>
          <w:p w14:paraId="44213BC1" w14:textId="6F5F4654" w:rsidR="009D64FD" w:rsidRPr="005F4AB5" w:rsidRDefault="009D64FD" w:rsidP="009D64F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Gloucester City  Plan Allocations without planning permission</w:t>
            </w:r>
          </w:p>
        </w:tc>
        <w:tc>
          <w:tcPr>
            <w:tcW w:w="0" w:type="auto"/>
            <w:shd w:val="clear" w:color="auto" w:fill="FFFFFF" w:themeFill="background1"/>
          </w:tcPr>
          <w:p w14:paraId="49FE327B" w14:textId="7FAC7473" w:rsidR="009D64FD" w:rsidRPr="005F4AB5" w:rsidRDefault="009D64FD" w:rsidP="009D64F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Allocated – not started</w:t>
            </w:r>
          </w:p>
        </w:tc>
        <w:tc>
          <w:tcPr>
            <w:tcW w:w="0" w:type="auto"/>
            <w:shd w:val="clear" w:color="auto" w:fill="FFFFFF" w:themeFill="background1"/>
          </w:tcPr>
          <w:p w14:paraId="37E36A95" w14:textId="41ACD0B1" w:rsidR="009D64FD" w:rsidRPr="005F4AB5" w:rsidRDefault="009D64FD" w:rsidP="009D64F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w:t>
            </w:r>
          </w:p>
        </w:tc>
        <w:tc>
          <w:tcPr>
            <w:tcW w:w="0" w:type="auto"/>
            <w:shd w:val="clear" w:color="auto" w:fill="FFFFFF" w:themeFill="background1"/>
          </w:tcPr>
          <w:p w14:paraId="2A7C9E10" w14:textId="754FA539" w:rsidR="009D64FD" w:rsidRPr="005F4AB5" w:rsidRDefault="009D64FD" w:rsidP="009D64F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Land at St Oswalds</w:t>
            </w:r>
          </w:p>
        </w:tc>
        <w:tc>
          <w:tcPr>
            <w:tcW w:w="0" w:type="auto"/>
            <w:shd w:val="clear" w:color="auto" w:fill="FFFFFF" w:themeFill="background1"/>
          </w:tcPr>
          <w:p w14:paraId="09C88DAE" w14:textId="0A9EFF82" w:rsidR="009D64FD" w:rsidRPr="005F4AB5" w:rsidRDefault="009D64FD" w:rsidP="009D64F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Westgate</w:t>
            </w:r>
          </w:p>
        </w:tc>
        <w:tc>
          <w:tcPr>
            <w:tcW w:w="0" w:type="auto"/>
            <w:shd w:val="clear" w:color="auto" w:fill="FFFFFF" w:themeFill="background1"/>
          </w:tcPr>
          <w:p w14:paraId="6DEFF2B9" w14:textId="5DBCE3DD" w:rsidR="009D64FD" w:rsidRPr="005F4AB5" w:rsidRDefault="009D64FD" w:rsidP="009D64F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300</w:t>
            </w:r>
          </w:p>
        </w:tc>
        <w:tc>
          <w:tcPr>
            <w:tcW w:w="0" w:type="auto"/>
            <w:shd w:val="clear" w:color="auto" w:fill="FFFFFF" w:themeFill="background1"/>
          </w:tcPr>
          <w:p w14:paraId="293F8AFC" w14:textId="327E757F" w:rsidR="009D64FD" w:rsidRPr="005F4AB5" w:rsidRDefault="009D64FD" w:rsidP="009D64F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05C3AF0E" w14:textId="386E454E" w:rsidR="009D64FD" w:rsidRPr="005F4AB5" w:rsidRDefault="009D64FD" w:rsidP="009D64F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3F1F66D5" w14:textId="492D0876" w:rsidR="009D64FD" w:rsidRPr="005F4AB5" w:rsidRDefault="009D64FD" w:rsidP="009D64F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25</w:t>
            </w:r>
          </w:p>
        </w:tc>
        <w:tc>
          <w:tcPr>
            <w:tcW w:w="0" w:type="auto"/>
            <w:shd w:val="clear" w:color="auto" w:fill="FFFFFF" w:themeFill="background1"/>
          </w:tcPr>
          <w:p w14:paraId="32B8BC71" w14:textId="27BB6C8D" w:rsidR="009D64FD" w:rsidRPr="005F4AB5" w:rsidRDefault="009D64FD" w:rsidP="009D64F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49</w:t>
            </w:r>
          </w:p>
        </w:tc>
        <w:tc>
          <w:tcPr>
            <w:tcW w:w="0" w:type="auto"/>
            <w:shd w:val="clear" w:color="auto" w:fill="FFFFFF" w:themeFill="background1"/>
          </w:tcPr>
          <w:p w14:paraId="74220454" w14:textId="221AE5B3" w:rsidR="009D64FD" w:rsidRPr="005F4AB5" w:rsidRDefault="009D64FD" w:rsidP="009D64F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49</w:t>
            </w:r>
          </w:p>
        </w:tc>
        <w:tc>
          <w:tcPr>
            <w:tcW w:w="0" w:type="auto"/>
            <w:shd w:val="clear" w:color="auto" w:fill="FFFFFF" w:themeFill="background1"/>
            <w:noWrap/>
          </w:tcPr>
          <w:p w14:paraId="580CFD14" w14:textId="54729E1D" w:rsidR="009D64FD" w:rsidRPr="005F4AB5" w:rsidRDefault="00DD2F38" w:rsidP="009D64F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123</w:t>
            </w:r>
          </w:p>
        </w:tc>
      </w:tr>
      <w:tr w:rsidR="00104E16" w:rsidRPr="005F4AB5" w14:paraId="514C3627"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A37671D" w14:textId="602C2A33" w:rsidR="009D64FD" w:rsidRPr="005F4AB5" w:rsidRDefault="009D64FD" w:rsidP="009D64FD">
            <w:pPr>
              <w:widowControl/>
              <w:autoSpaceDE/>
              <w:autoSpaceDN/>
              <w:rPr>
                <w:rFonts w:eastAsia="Times New Roman"/>
                <w:sz w:val="20"/>
                <w:szCs w:val="20"/>
                <w:lang w:val="en-GB" w:eastAsia="en-GB"/>
              </w:rPr>
            </w:pPr>
            <w:r w:rsidRPr="005F4AB5">
              <w:rPr>
                <w:rFonts w:eastAsia="Times New Roman"/>
                <w:sz w:val="20"/>
                <w:szCs w:val="20"/>
                <w:lang w:val="en-GB" w:eastAsia="en-GB"/>
              </w:rPr>
              <w:t>F</w:t>
            </w:r>
          </w:p>
        </w:tc>
        <w:tc>
          <w:tcPr>
            <w:tcW w:w="0" w:type="auto"/>
            <w:shd w:val="clear" w:color="auto" w:fill="FFFFFF" w:themeFill="background1"/>
          </w:tcPr>
          <w:p w14:paraId="4A7B962E" w14:textId="195BD5F3" w:rsidR="009D64FD" w:rsidRPr="005F4AB5" w:rsidRDefault="009D64FD" w:rsidP="009D64F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Gloucester City  Plan Allocations without planning permission</w:t>
            </w:r>
          </w:p>
        </w:tc>
        <w:tc>
          <w:tcPr>
            <w:tcW w:w="0" w:type="auto"/>
            <w:shd w:val="clear" w:color="auto" w:fill="FFFFFF" w:themeFill="background1"/>
          </w:tcPr>
          <w:p w14:paraId="023D49F7" w14:textId="15FC4BE7" w:rsidR="009D64FD" w:rsidRPr="005F4AB5" w:rsidRDefault="009D64FD" w:rsidP="009D64F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Allocated – not started</w:t>
            </w:r>
          </w:p>
        </w:tc>
        <w:tc>
          <w:tcPr>
            <w:tcW w:w="0" w:type="auto"/>
            <w:shd w:val="clear" w:color="auto" w:fill="FFFFFF" w:themeFill="background1"/>
          </w:tcPr>
          <w:p w14:paraId="044B47C0" w14:textId="1DCEDB2A" w:rsidR="009D64FD" w:rsidRPr="005F4AB5" w:rsidRDefault="009D64FD" w:rsidP="009D64F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w:t>
            </w:r>
          </w:p>
        </w:tc>
        <w:tc>
          <w:tcPr>
            <w:tcW w:w="0" w:type="auto"/>
            <w:shd w:val="clear" w:color="auto" w:fill="FFFFFF" w:themeFill="background1"/>
          </w:tcPr>
          <w:p w14:paraId="570C3B03" w14:textId="0B827C10" w:rsidR="009D64FD" w:rsidRPr="005F4AB5" w:rsidRDefault="009D64FD" w:rsidP="009D64F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xml:space="preserve">Former Colwell Youth &amp; Community Centre </w:t>
            </w:r>
          </w:p>
        </w:tc>
        <w:tc>
          <w:tcPr>
            <w:tcW w:w="0" w:type="auto"/>
            <w:shd w:val="clear" w:color="auto" w:fill="FFFFFF" w:themeFill="background1"/>
          </w:tcPr>
          <w:p w14:paraId="0B40BDA5" w14:textId="10BCD441" w:rsidR="009D64FD" w:rsidRPr="005F4AB5" w:rsidRDefault="009D64FD" w:rsidP="009D64F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Barton &amp; Tredworth</w:t>
            </w:r>
          </w:p>
        </w:tc>
        <w:tc>
          <w:tcPr>
            <w:tcW w:w="0" w:type="auto"/>
            <w:shd w:val="clear" w:color="auto" w:fill="FFFFFF" w:themeFill="background1"/>
          </w:tcPr>
          <w:p w14:paraId="4DB82C25" w14:textId="4E812B7F" w:rsidR="009D64FD" w:rsidRPr="005F4AB5" w:rsidRDefault="00DD2F38" w:rsidP="00DD2F38">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20</w:t>
            </w:r>
          </w:p>
        </w:tc>
        <w:tc>
          <w:tcPr>
            <w:tcW w:w="0" w:type="auto"/>
            <w:shd w:val="clear" w:color="auto" w:fill="FFFFFF" w:themeFill="background1"/>
          </w:tcPr>
          <w:p w14:paraId="2D82730A" w14:textId="4C6E7835" w:rsidR="009D64FD" w:rsidRPr="005F4AB5" w:rsidRDefault="00DD2F38" w:rsidP="00DD2F38">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00841A2F" w14:textId="450677A0" w:rsidR="009D64FD" w:rsidRPr="005F4AB5" w:rsidRDefault="00DD2F38" w:rsidP="00DD2F38">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66ED1E7D" w14:textId="2D4668C3" w:rsidR="009D64FD" w:rsidRPr="005F4AB5" w:rsidRDefault="00DD2F38" w:rsidP="00DD2F38">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20</w:t>
            </w:r>
          </w:p>
        </w:tc>
        <w:tc>
          <w:tcPr>
            <w:tcW w:w="0" w:type="auto"/>
            <w:shd w:val="clear" w:color="auto" w:fill="FFFFFF" w:themeFill="background1"/>
          </w:tcPr>
          <w:p w14:paraId="31B7A210" w14:textId="012DC2A2" w:rsidR="009D64FD" w:rsidRPr="005F4AB5" w:rsidRDefault="00DD2F38" w:rsidP="009D64F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6CD12065" w14:textId="53906065" w:rsidR="009D64FD" w:rsidRPr="005F4AB5" w:rsidRDefault="00DD2F38" w:rsidP="009D64F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2DD4A1B4" w14:textId="71A3EB5F" w:rsidR="009D64FD" w:rsidRPr="005F4AB5" w:rsidRDefault="00DD2F38" w:rsidP="00DD2F38">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20</w:t>
            </w:r>
          </w:p>
        </w:tc>
      </w:tr>
      <w:tr w:rsidR="00104E16" w:rsidRPr="005F4AB5" w14:paraId="53FD1D5F"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3C6661C" w14:textId="5507DBA5" w:rsidR="009D64FD" w:rsidRPr="005F4AB5" w:rsidRDefault="009D64FD" w:rsidP="00DD2F38">
            <w:pPr>
              <w:widowControl/>
              <w:autoSpaceDE/>
              <w:autoSpaceDN/>
              <w:rPr>
                <w:rFonts w:eastAsia="Times New Roman"/>
                <w:sz w:val="20"/>
                <w:szCs w:val="20"/>
                <w:lang w:val="en-GB" w:eastAsia="en-GB"/>
              </w:rPr>
            </w:pPr>
            <w:r w:rsidRPr="005F4AB5">
              <w:rPr>
                <w:rFonts w:eastAsia="Times New Roman"/>
                <w:sz w:val="20"/>
                <w:szCs w:val="20"/>
                <w:lang w:val="en-GB" w:eastAsia="en-GB"/>
              </w:rPr>
              <w:t>F</w:t>
            </w:r>
          </w:p>
        </w:tc>
        <w:tc>
          <w:tcPr>
            <w:tcW w:w="0" w:type="auto"/>
            <w:shd w:val="clear" w:color="auto" w:fill="FFFFFF" w:themeFill="background1"/>
          </w:tcPr>
          <w:p w14:paraId="1D482840" w14:textId="29823A16" w:rsidR="009D64FD" w:rsidRPr="005F4AB5" w:rsidRDefault="009D64FD" w:rsidP="00DD2F38">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Gloucester City  Plan Allocations without planning permission</w:t>
            </w:r>
          </w:p>
        </w:tc>
        <w:tc>
          <w:tcPr>
            <w:tcW w:w="0" w:type="auto"/>
            <w:shd w:val="clear" w:color="auto" w:fill="FFFFFF" w:themeFill="background1"/>
          </w:tcPr>
          <w:p w14:paraId="743CDE43" w14:textId="0AF89498" w:rsidR="009D64FD" w:rsidRPr="005F4AB5" w:rsidRDefault="009D64FD" w:rsidP="00DD2F38">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Allocated – not started</w:t>
            </w:r>
          </w:p>
        </w:tc>
        <w:tc>
          <w:tcPr>
            <w:tcW w:w="0" w:type="auto"/>
            <w:shd w:val="clear" w:color="auto" w:fill="FFFFFF" w:themeFill="background1"/>
          </w:tcPr>
          <w:p w14:paraId="5E27A753" w14:textId="23BA8AF7" w:rsidR="009D64FD" w:rsidRPr="005F4AB5" w:rsidRDefault="009D64FD" w:rsidP="00DD2F38">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w:t>
            </w:r>
          </w:p>
        </w:tc>
        <w:tc>
          <w:tcPr>
            <w:tcW w:w="0" w:type="auto"/>
            <w:shd w:val="clear" w:color="auto" w:fill="FFFFFF" w:themeFill="background1"/>
          </w:tcPr>
          <w:p w14:paraId="324B0614" w14:textId="27DE2B22" w:rsidR="009D64FD" w:rsidRPr="005F4AB5" w:rsidRDefault="009D64FD" w:rsidP="00DD2F38">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 xml:space="preserve">Land off New Dawn View </w:t>
            </w:r>
          </w:p>
        </w:tc>
        <w:tc>
          <w:tcPr>
            <w:tcW w:w="0" w:type="auto"/>
            <w:shd w:val="clear" w:color="auto" w:fill="FFFFFF" w:themeFill="background1"/>
          </w:tcPr>
          <w:p w14:paraId="0334E877" w14:textId="372773AB" w:rsidR="009D64FD" w:rsidRPr="005F4AB5" w:rsidRDefault="009D64FD" w:rsidP="00DD2F38">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sz w:val="20"/>
                <w:szCs w:val="20"/>
              </w:rPr>
              <w:t>Podsmead</w:t>
            </w:r>
          </w:p>
        </w:tc>
        <w:tc>
          <w:tcPr>
            <w:tcW w:w="0" w:type="auto"/>
            <w:shd w:val="clear" w:color="auto" w:fill="FFFFFF" w:themeFill="background1"/>
          </w:tcPr>
          <w:p w14:paraId="1FC6BD61" w14:textId="11869479" w:rsidR="009D64FD" w:rsidRPr="005F4AB5" w:rsidRDefault="00DD2F38" w:rsidP="00DD2F38">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30</w:t>
            </w:r>
          </w:p>
        </w:tc>
        <w:tc>
          <w:tcPr>
            <w:tcW w:w="0" w:type="auto"/>
            <w:shd w:val="clear" w:color="auto" w:fill="FFFFFF" w:themeFill="background1"/>
          </w:tcPr>
          <w:p w14:paraId="265BE2CC" w14:textId="3296D650" w:rsidR="009D64FD" w:rsidRPr="005F4AB5" w:rsidRDefault="00DD2F38" w:rsidP="00DD2F38">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2E186B33" w14:textId="5FA88FE1" w:rsidR="009D64FD" w:rsidRPr="005F4AB5" w:rsidRDefault="00DD2F38" w:rsidP="00DD2F38">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79D55B1E" w14:textId="60A49C41" w:rsidR="009D64FD" w:rsidRPr="005F4AB5" w:rsidRDefault="00DD2F38" w:rsidP="00DD2F38">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091574B4" w14:textId="1A389E87" w:rsidR="009D64FD" w:rsidRPr="005F4AB5" w:rsidRDefault="00DD2F38" w:rsidP="00DD2F38">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30</w:t>
            </w:r>
          </w:p>
        </w:tc>
        <w:tc>
          <w:tcPr>
            <w:tcW w:w="0" w:type="auto"/>
            <w:shd w:val="clear" w:color="auto" w:fill="FFFFFF" w:themeFill="background1"/>
          </w:tcPr>
          <w:p w14:paraId="172AD8F6" w14:textId="09267292" w:rsidR="009D64FD" w:rsidRPr="005F4AB5" w:rsidRDefault="00DD2F38" w:rsidP="00DD2F38">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61D2185A" w14:textId="35D9F875" w:rsidR="009D64FD" w:rsidRPr="005F4AB5" w:rsidRDefault="00DD2F38" w:rsidP="00DD2F38">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30</w:t>
            </w:r>
          </w:p>
        </w:tc>
      </w:tr>
      <w:tr w:rsidR="00104E16" w:rsidRPr="005F4AB5" w14:paraId="22EA7E15"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05C95D6" w14:textId="63F0580E" w:rsidR="009D64FD" w:rsidRPr="005F4AB5" w:rsidRDefault="009D64FD" w:rsidP="009D64FD">
            <w:pPr>
              <w:widowControl/>
              <w:autoSpaceDE/>
              <w:autoSpaceDN/>
              <w:rPr>
                <w:rFonts w:eastAsia="Times New Roman"/>
                <w:sz w:val="20"/>
                <w:szCs w:val="20"/>
                <w:lang w:val="en-GB" w:eastAsia="en-GB"/>
              </w:rPr>
            </w:pPr>
            <w:r w:rsidRPr="005F4AB5">
              <w:rPr>
                <w:rFonts w:eastAsia="Times New Roman"/>
                <w:sz w:val="20"/>
                <w:szCs w:val="20"/>
                <w:lang w:val="en-GB" w:eastAsia="en-GB"/>
              </w:rPr>
              <w:t>F</w:t>
            </w:r>
          </w:p>
        </w:tc>
        <w:tc>
          <w:tcPr>
            <w:tcW w:w="0" w:type="auto"/>
            <w:shd w:val="clear" w:color="auto" w:fill="FFFFFF" w:themeFill="background1"/>
          </w:tcPr>
          <w:p w14:paraId="6AED01CA" w14:textId="166EF1AC" w:rsidR="009D64FD" w:rsidRPr="005F4AB5" w:rsidRDefault="009D64FD" w:rsidP="009D64F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Gloucester City  Plan Allocations without planning permission</w:t>
            </w:r>
          </w:p>
        </w:tc>
        <w:tc>
          <w:tcPr>
            <w:tcW w:w="0" w:type="auto"/>
            <w:shd w:val="clear" w:color="auto" w:fill="FFFFFF" w:themeFill="background1"/>
          </w:tcPr>
          <w:p w14:paraId="216A946D" w14:textId="7D693D1E" w:rsidR="009D64FD" w:rsidRPr="005F4AB5" w:rsidRDefault="009D64FD" w:rsidP="009D64F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Allocated – not started</w:t>
            </w:r>
          </w:p>
        </w:tc>
        <w:tc>
          <w:tcPr>
            <w:tcW w:w="0" w:type="auto"/>
            <w:shd w:val="clear" w:color="auto" w:fill="FFFFFF" w:themeFill="background1"/>
          </w:tcPr>
          <w:p w14:paraId="10CCDEC2" w14:textId="4671DBC1" w:rsidR="009D64FD" w:rsidRPr="005F4AB5" w:rsidRDefault="009D64FD" w:rsidP="009D64F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w:t>
            </w:r>
          </w:p>
        </w:tc>
        <w:tc>
          <w:tcPr>
            <w:tcW w:w="0" w:type="auto"/>
            <w:shd w:val="clear" w:color="auto" w:fill="FFFFFF" w:themeFill="background1"/>
          </w:tcPr>
          <w:p w14:paraId="1E8A850E" w14:textId="11298F78" w:rsidR="009D64FD" w:rsidRPr="005F4AB5" w:rsidRDefault="009D64FD" w:rsidP="009D64F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Jordan's Brook House</w:t>
            </w:r>
          </w:p>
        </w:tc>
        <w:tc>
          <w:tcPr>
            <w:tcW w:w="0" w:type="auto"/>
            <w:shd w:val="clear" w:color="auto" w:fill="FFFFFF" w:themeFill="background1"/>
          </w:tcPr>
          <w:p w14:paraId="431F35FD" w14:textId="7F8D277B" w:rsidR="009D64FD" w:rsidRPr="005F4AB5" w:rsidRDefault="009D64FD" w:rsidP="009D64F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Barnwood</w:t>
            </w:r>
          </w:p>
        </w:tc>
        <w:tc>
          <w:tcPr>
            <w:tcW w:w="0" w:type="auto"/>
            <w:shd w:val="clear" w:color="auto" w:fill="FFFFFF" w:themeFill="background1"/>
          </w:tcPr>
          <w:p w14:paraId="1F6704D4" w14:textId="13EE1CB7" w:rsidR="009D64FD" w:rsidRPr="005F4AB5" w:rsidRDefault="00DD2F38" w:rsidP="00DD2F38">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10</w:t>
            </w:r>
          </w:p>
        </w:tc>
        <w:tc>
          <w:tcPr>
            <w:tcW w:w="0" w:type="auto"/>
            <w:shd w:val="clear" w:color="auto" w:fill="FFFFFF" w:themeFill="background1"/>
          </w:tcPr>
          <w:p w14:paraId="4E30EB4B" w14:textId="30D043B7" w:rsidR="009D64FD" w:rsidRPr="005F4AB5" w:rsidRDefault="00DD2F38" w:rsidP="00DD2F38">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45BF7184" w14:textId="3F8F731D" w:rsidR="009D64FD" w:rsidRPr="005F4AB5" w:rsidRDefault="00DD2F38" w:rsidP="00DD2F38">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5C72A38D" w14:textId="193AB5F7" w:rsidR="009D64FD" w:rsidRPr="005F4AB5" w:rsidRDefault="00DD2F38" w:rsidP="009D64F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10</w:t>
            </w:r>
          </w:p>
        </w:tc>
        <w:tc>
          <w:tcPr>
            <w:tcW w:w="0" w:type="auto"/>
            <w:shd w:val="clear" w:color="auto" w:fill="FFFFFF" w:themeFill="background1"/>
          </w:tcPr>
          <w:p w14:paraId="34F946D1" w14:textId="7C6383E4" w:rsidR="009D64FD" w:rsidRPr="005F4AB5" w:rsidRDefault="00DD2F38" w:rsidP="009D64F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5A1E9DA9" w14:textId="10C7C6C1" w:rsidR="009D64FD" w:rsidRPr="005F4AB5" w:rsidRDefault="00DD2F38" w:rsidP="009D64F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63933F26" w14:textId="0C3D9C03" w:rsidR="009D64FD" w:rsidRPr="005F4AB5" w:rsidRDefault="00DD2F38" w:rsidP="00DD2F38">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10</w:t>
            </w:r>
          </w:p>
        </w:tc>
      </w:tr>
      <w:tr w:rsidR="00104E16" w:rsidRPr="005F4AB5" w14:paraId="4FB0CD2A"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1C52C2C" w14:textId="4CBBB5EC" w:rsidR="005D042F" w:rsidRPr="005F4AB5" w:rsidRDefault="005D042F" w:rsidP="005D042F">
            <w:pPr>
              <w:widowControl/>
              <w:autoSpaceDE/>
              <w:autoSpaceDN/>
              <w:rPr>
                <w:rFonts w:eastAsia="Times New Roman"/>
                <w:sz w:val="20"/>
                <w:szCs w:val="20"/>
                <w:lang w:val="en-GB" w:eastAsia="en-GB"/>
              </w:rPr>
            </w:pPr>
            <w:r w:rsidRPr="005F4AB5">
              <w:rPr>
                <w:rFonts w:eastAsia="Times New Roman"/>
                <w:sz w:val="20"/>
                <w:szCs w:val="20"/>
                <w:lang w:val="en-GB" w:eastAsia="en-GB"/>
              </w:rPr>
              <w:t>G</w:t>
            </w:r>
          </w:p>
        </w:tc>
        <w:tc>
          <w:tcPr>
            <w:tcW w:w="0" w:type="auto"/>
            <w:shd w:val="clear" w:color="auto" w:fill="FFFFFF" w:themeFill="background1"/>
          </w:tcPr>
          <w:p w14:paraId="743C582B" w14:textId="7458C526" w:rsidR="005D042F" w:rsidRPr="005F4AB5" w:rsidRDefault="005D042F" w:rsidP="005D042F">
            <w:pPr>
              <w:widowControl/>
              <w:autoSpaceDE/>
              <w:autoSpaceDN/>
              <w:cnfStyle w:val="000000100000" w:firstRow="0" w:lastRow="0" w:firstColumn="0" w:lastColumn="0" w:oddVBand="0" w:evenVBand="0" w:oddHBand="1" w:evenHBand="0" w:firstRowFirstColumn="0" w:firstRowLastColumn="0" w:lastRowFirstColumn="0" w:lastRowLastColumn="0"/>
              <w:rPr>
                <w:sz w:val="20"/>
                <w:szCs w:val="20"/>
              </w:rPr>
            </w:pPr>
            <w:r w:rsidRPr="005F4AB5">
              <w:rPr>
                <w:sz w:val="20"/>
                <w:szCs w:val="20"/>
              </w:rPr>
              <w:t xml:space="preserve">JCS Strategic Allocations  </w:t>
            </w:r>
          </w:p>
        </w:tc>
        <w:tc>
          <w:tcPr>
            <w:tcW w:w="0" w:type="auto"/>
            <w:shd w:val="clear" w:color="auto" w:fill="FFFFFF" w:themeFill="background1"/>
          </w:tcPr>
          <w:p w14:paraId="4A0F4EB3" w14:textId="4B52351C" w:rsidR="005D042F" w:rsidRPr="005F4AB5" w:rsidRDefault="001A478C" w:rsidP="005D042F">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Under construction</w:t>
            </w:r>
          </w:p>
        </w:tc>
        <w:tc>
          <w:tcPr>
            <w:tcW w:w="0" w:type="auto"/>
            <w:shd w:val="clear" w:color="auto" w:fill="FFFFFF" w:themeFill="background1"/>
          </w:tcPr>
          <w:p w14:paraId="484B0437" w14:textId="420192A5" w:rsidR="005D042F" w:rsidRPr="005F4AB5" w:rsidRDefault="005D042F" w:rsidP="005D042F">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ascii="Arial" w:hAnsi="Arial" w:cs="Arial"/>
                <w:sz w:val="18"/>
                <w:szCs w:val="18"/>
              </w:rPr>
              <w:t>19/00996/APP</w:t>
            </w:r>
          </w:p>
        </w:tc>
        <w:tc>
          <w:tcPr>
            <w:tcW w:w="0" w:type="auto"/>
            <w:shd w:val="clear" w:color="auto" w:fill="FFFFFF" w:themeFill="background1"/>
          </w:tcPr>
          <w:p w14:paraId="00ED8DFF" w14:textId="4FDFB587" w:rsidR="005D042F" w:rsidRPr="005F4AB5" w:rsidRDefault="005D042F" w:rsidP="005D042F">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Land north of Innsworth Lane (Phase 2)</w:t>
            </w:r>
          </w:p>
        </w:tc>
        <w:tc>
          <w:tcPr>
            <w:tcW w:w="0" w:type="auto"/>
            <w:shd w:val="clear" w:color="auto" w:fill="FFFFFF" w:themeFill="background1"/>
          </w:tcPr>
          <w:p w14:paraId="346D2536" w14:textId="44789082" w:rsidR="005D042F" w:rsidRPr="005F4AB5" w:rsidRDefault="001A478C" w:rsidP="005D042F">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Innsworth</w:t>
            </w:r>
          </w:p>
        </w:tc>
        <w:tc>
          <w:tcPr>
            <w:tcW w:w="0" w:type="auto"/>
            <w:shd w:val="clear" w:color="auto" w:fill="FFFFFF" w:themeFill="background1"/>
          </w:tcPr>
          <w:p w14:paraId="5A395D96" w14:textId="51C59325" w:rsidR="005D042F" w:rsidRPr="005F4AB5" w:rsidRDefault="001A478C" w:rsidP="005D042F">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175</w:t>
            </w:r>
          </w:p>
        </w:tc>
        <w:tc>
          <w:tcPr>
            <w:tcW w:w="0" w:type="auto"/>
            <w:shd w:val="clear" w:color="auto" w:fill="FFFFFF" w:themeFill="background1"/>
          </w:tcPr>
          <w:p w14:paraId="65C82815" w14:textId="6D6860E4" w:rsidR="005D042F" w:rsidRPr="005F4AB5" w:rsidRDefault="001A478C" w:rsidP="005D042F">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33</w:t>
            </w:r>
          </w:p>
        </w:tc>
        <w:tc>
          <w:tcPr>
            <w:tcW w:w="0" w:type="auto"/>
            <w:shd w:val="clear" w:color="auto" w:fill="FFFFFF" w:themeFill="background1"/>
          </w:tcPr>
          <w:p w14:paraId="4AB69508" w14:textId="5859EC89" w:rsidR="005D042F" w:rsidRPr="005F4AB5" w:rsidRDefault="001A478C" w:rsidP="005D042F">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598020DB" w14:textId="0CD41838" w:rsidR="005D042F" w:rsidRPr="005F4AB5" w:rsidRDefault="001A478C" w:rsidP="005D042F">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2379604E" w14:textId="3FB1C4A8" w:rsidR="005D042F" w:rsidRPr="005F4AB5" w:rsidRDefault="001A478C" w:rsidP="005D042F">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027055A6" w14:textId="21D2303C" w:rsidR="005D042F" w:rsidRPr="005F4AB5" w:rsidRDefault="001A478C" w:rsidP="005D042F">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2A927575" w14:textId="35ADAC7E" w:rsidR="005D042F" w:rsidRPr="005F4AB5" w:rsidRDefault="001A478C" w:rsidP="005D042F">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33</w:t>
            </w:r>
          </w:p>
        </w:tc>
      </w:tr>
      <w:tr w:rsidR="00104E16" w:rsidRPr="005F4AB5" w14:paraId="3680ED8F"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031A3B5" w14:textId="583F0DA1" w:rsidR="005D042F" w:rsidRPr="005F4AB5" w:rsidRDefault="005D042F" w:rsidP="005D042F">
            <w:pPr>
              <w:widowControl/>
              <w:autoSpaceDE/>
              <w:autoSpaceDN/>
              <w:rPr>
                <w:rFonts w:eastAsia="Times New Roman"/>
                <w:sz w:val="20"/>
                <w:szCs w:val="20"/>
                <w:lang w:val="en-GB" w:eastAsia="en-GB"/>
              </w:rPr>
            </w:pPr>
            <w:r w:rsidRPr="005F4AB5">
              <w:rPr>
                <w:rFonts w:eastAsia="Times New Roman"/>
                <w:sz w:val="20"/>
                <w:szCs w:val="20"/>
                <w:lang w:val="en-GB" w:eastAsia="en-GB"/>
              </w:rPr>
              <w:t>G</w:t>
            </w:r>
          </w:p>
        </w:tc>
        <w:tc>
          <w:tcPr>
            <w:tcW w:w="0" w:type="auto"/>
            <w:shd w:val="clear" w:color="auto" w:fill="FFFFFF" w:themeFill="background1"/>
          </w:tcPr>
          <w:p w14:paraId="3B62547C" w14:textId="0C903440" w:rsidR="005D042F" w:rsidRPr="005F4AB5" w:rsidRDefault="005D042F" w:rsidP="005D042F">
            <w:pPr>
              <w:widowControl/>
              <w:autoSpaceDE/>
              <w:autoSpaceDN/>
              <w:cnfStyle w:val="000000000000" w:firstRow="0" w:lastRow="0" w:firstColumn="0" w:lastColumn="0" w:oddVBand="0" w:evenVBand="0" w:oddHBand="0" w:evenHBand="0" w:firstRowFirstColumn="0" w:firstRowLastColumn="0" w:lastRowFirstColumn="0" w:lastRowLastColumn="0"/>
              <w:rPr>
                <w:sz w:val="20"/>
                <w:szCs w:val="20"/>
              </w:rPr>
            </w:pPr>
            <w:r w:rsidRPr="005F4AB5">
              <w:rPr>
                <w:sz w:val="20"/>
                <w:szCs w:val="20"/>
              </w:rPr>
              <w:t xml:space="preserve">JCS Strategic Allocations  </w:t>
            </w:r>
          </w:p>
        </w:tc>
        <w:tc>
          <w:tcPr>
            <w:tcW w:w="0" w:type="auto"/>
            <w:shd w:val="clear" w:color="auto" w:fill="FFFFFF" w:themeFill="background1"/>
          </w:tcPr>
          <w:p w14:paraId="464FEB18" w14:textId="2BCC4751" w:rsidR="005D042F" w:rsidRPr="005F4AB5" w:rsidRDefault="001A478C" w:rsidP="005D042F">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Under construction</w:t>
            </w:r>
          </w:p>
        </w:tc>
        <w:tc>
          <w:tcPr>
            <w:tcW w:w="0" w:type="auto"/>
            <w:shd w:val="clear" w:color="auto" w:fill="FFFFFF" w:themeFill="background1"/>
          </w:tcPr>
          <w:p w14:paraId="02FACD97" w14:textId="5163AD24" w:rsidR="005D042F" w:rsidRPr="005F4AB5" w:rsidRDefault="005D042F" w:rsidP="005D042F">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ascii="DM Sans" w:hAnsi="DM Sans"/>
                <w:sz w:val="18"/>
                <w:szCs w:val="18"/>
              </w:rPr>
              <w:t>22/01225/APP</w:t>
            </w:r>
          </w:p>
        </w:tc>
        <w:tc>
          <w:tcPr>
            <w:tcW w:w="0" w:type="auto"/>
            <w:shd w:val="clear" w:color="auto" w:fill="FFFFFF" w:themeFill="background1"/>
          </w:tcPr>
          <w:p w14:paraId="6AADD379" w14:textId="18B2447A" w:rsidR="005D042F" w:rsidRPr="005F4AB5" w:rsidRDefault="005D042F" w:rsidP="005D042F">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Land north of Innsworth Lane (Phase 4)</w:t>
            </w:r>
          </w:p>
        </w:tc>
        <w:tc>
          <w:tcPr>
            <w:tcW w:w="0" w:type="auto"/>
            <w:shd w:val="clear" w:color="auto" w:fill="FFFFFF" w:themeFill="background1"/>
          </w:tcPr>
          <w:p w14:paraId="2996BCF3" w14:textId="5191CD3E" w:rsidR="005D042F" w:rsidRPr="005F4AB5" w:rsidRDefault="001A478C" w:rsidP="005D042F">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Innsworth</w:t>
            </w:r>
          </w:p>
        </w:tc>
        <w:tc>
          <w:tcPr>
            <w:tcW w:w="0" w:type="auto"/>
            <w:shd w:val="clear" w:color="auto" w:fill="FFFFFF" w:themeFill="background1"/>
          </w:tcPr>
          <w:p w14:paraId="16DB87A7" w14:textId="0A111CBE" w:rsidR="005D042F" w:rsidRPr="005F4AB5" w:rsidRDefault="001A478C" w:rsidP="005D042F">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257</w:t>
            </w:r>
          </w:p>
        </w:tc>
        <w:tc>
          <w:tcPr>
            <w:tcW w:w="0" w:type="auto"/>
            <w:shd w:val="clear" w:color="auto" w:fill="FFFFFF" w:themeFill="background1"/>
          </w:tcPr>
          <w:p w14:paraId="7EEFCF2E" w14:textId="0427E79F" w:rsidR="005D042F" w:rsidRPr="005F4AB5" w:rsidRDefault="001A478C" w:rsidP="005D042F">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49</w:t>
            </w:r>
          </w:p>
        </w:tc>
        <w:tc>
          <w:tcPr>
            <w:tcW w:w="0" w:type="auto"/>
            <w:shd w:val="clear" w:color="auto" w:fill="FFFFFF" w:themeFill="background1"/>
          </w:tcPr>
          <w:p w14:paraId="50EC1CC8" w14:textId="76A3100D" w:rsidR="005D042F" w:rsidRPr="005F4AB5" w:rsidRDefault="001A478C" w:rsidP="005D042F">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37</w:t>
            </w:r>
          </w:p>
        </w:tc>
        <w:tc>
          <w:tcPr>
            <w:tcW w:w="0" w:type="auto"/>
            <w:shd w:val="clear" w:color="auto" w:fill="FFFFFF" w:themeFill="background1"/>
          </w:tcPr>
          <w:p w14:paraId="0D191547" w14:textId="68ABBE6D" w:rsidR="005D042F" w:rsidRPr="005F4AB5" w:rsidRDefault="001A478C" w:rsidP="005D042F">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1651F87F" w14:textId="1FB5579B" w:rsidR="005D042F" w:rsidRPr="005F4AB5" w:rsidRDefault="001A478C" w:rsidP="005D042F">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61B6E059" w14:textId="0AEEA064" w:rsidR="005D042F" w:rsidRPr="005F4AB5" w:rsidRDefault="001A478C" w:rsidP="005D042F">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3FC9A9B9" w14:textId="31B5A340" w:rsidR="005D042F" w:rsidRPr="005F4AB5" w:rsidRDefault="001A478C" w:rsidP="005D042F">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86</w:t>
            </w:r>
          </w:p>
        </w:tc>
      </w:tr>
      <w:tr w:rsidR="00104E16" w:rsidRPr="005F4AB5" w14:paraId="7FE574CF"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DB7C0D7" w14:textId="05FAACBD" w:rsidR="005D042F" w:rsidRPr="005F4AB5" w:rsidRDefault="005D042F" w:rsidP="005D042F">
            <w:pPr>
              <w:widowControl/>
              <w:autoSpaceDE/>
              <w:autoSpaceDN/>
              <w:rPr>
                <w:rFonts w:eastAsia="Times New Roman"/>
                <w:sz w:val="20"/>
                <w:szCs w:val="20"/>
                <w:lang w:val="en-GB" w:eastAsia="en-GB"/>
              </w:rPr>
            </w:pPr>
            <w:r w:rsidRPr="005F4AB5">
              <w:rPr>
                <w:rFonts w:eastAsia="Times New Roman"/>
                <w:sz w:val="20"/>
                <w:szCs w:val="20"/>
                <w:lang w:val="en-GB" w:eastAsia="en-GB"/>
              </w:rPr>
              <w:t>G</w:t>
            </w:r>
          </w:p>
        </w:tc>
        <w:tc>
          <w:tcPr>
            <w:tcW w:w="0" w:type="auto"/>
            <w:shd w:val="clear" w:color="auto" w:fill="FFFFFF" w:themeFill="background1"/>
          </w:tcPr>
          <w:p w14:paraId="2D6DB1BA" w14:textId="13312F07" w:rsidR="005D042F" w:rsidRPr="005F4AB5" w:rsidRDefault="005D042F" w:rsidP="005D042F">
            <w:pPr>
              <w:widowControl/>
              <w:autoSpaceDE/>
              <w:autoSpaceDN/>
              <w:cnfStyle w:val="000000100000" w:firstRow="0" w:lastRow="0" w:firstColumn="0" w:lastColumn="0" w:oddVBand="0" w:evenVBand="0" w:oddHBand="1" w:evenHBand="0" w:firstRowFirstColumn="0" w:firstRowLastColumn="0" w:lastRowFirstColumn="0" w:lastRowLastColumn="0"/>
              <w:rPr>
                <w:sz w:val="20"/>
                <w:szCs w:val="20"/>
              </w:rPr>
            </w:pPr>
            <w:r w:rsidRPr="005F4AB5">
              <w:rPr>
                <w:sz w:val="20"/>
                <w:szCs w:val="20"/>
              </w:rPr>
              <w:t xml:space="preserve">JCS Strategic Allocations  </w:t>
            </w:r>
          </w:p>
        </w:tc>
        <w:tc>
          <w:tcPr>
            <w:tcW w:w="0" w:type="auto"/>
            <w:shd w:val="clear" w:color="auto" w:fill="FFFFFF" w:themeFill="background1"/>
          </w:tcPr>
          <w:p w14:paraId="6447FA32" w14:textId="56D8C797" w:rsidR="005D042F" w:rsidRPr="005F4AB5" w:rsidRDefault="001A478C" w:rsidP="005D042F">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Under construction</w:t>
            </w:r>
          </w:p>
        </w:tc>
        <w:tc>
          <w:tcPr>
            <w:tcW w:w="0" w:type="auto"/>
            <w:shd w:val="clear" w:color="auto" w:fill="FFFFFF" w:themeFill="background1"/>
          </w:tcPr>
          <w:p w14:paraId="385630E6" w14:textId="77F618D0" w:rsidR="005D042F" w:rsidRPr="005F4AB5" w:rsidRDefault="005D042F" w:rsidP="005D042F">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ascii="Arial" w:hAnsi="Arial" w:cs="Arial"/>
                <w:sz w:val="18"/>
                <w:szCs w:val="18"/>
              </w:rPr>
              <w:t xml:space="preserve">21/00133/APP </w:t>
            </w:r>
          </w:p>
        </w:tc>
        <w:tc>
          <w:tcPr>
            <w:tcW w:w="0" w:type="auto"/>
            <w:shd w:val="clear" w:color="auto" w:fill="FFFFFF" w:themeFill="background1"/>
          </w:tcPr>
          <w:p w14:paraId="5D9EAE23" w14:textId="299AF1F4" w:rsidR="005D042F" w:rsidRPr="005F4AB5" w:rsidRDefault="005D042F" w:rsidP="005D042F">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Land at Innsworth (Phase 5)</w:t>
            </w:r>
          </w:p>
        </w:tc>
        <w:tc>
          <w:tcPr>
            <w:tcW w:w="0" w:type="auto"/>
            <w:shd w:val="clear" w:color="auto" w:fill="FFFFFF" w:themeFill="background1"/>
          </w:tcPr>
          <w:p w14:paraId="2B8B529A" w14:textId="7B73E6E1" w:rsidR="005D042F" w:rsidRPr="005F4AB5" w:rsidRDefault="001A478C" w:rsidP="005D042F">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Innsworth</w:t>
            </w:r>
          </w:p>
        </w:tc>
        <w:tc>
          <w:tcPr>
            <w:tcW w:w="0" w:type="auto"/>
            <w:shd w:val="clear" w:color="auto" w:fill="FFFFFF" w:themeFill="background1"/>
          </w:tcPr>
          <w:p w14:paraId="1AECA847" w14:textId="4016869E" w:rsidR="005D042F" w:rsidRPr="005F4AB5" w:rsidRDefault="001A478C" w:rsidP="005D042F">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179</w:t>
            </w:r>
          </w:p>
        </w:tc>
        <w:tc>
          <w:tcPr>
            <w:tcW w:w="0" w:type="auto"/>
            <w:shd w:val="clear" w:color="auto" w:fill="FFFFFF" w:themeFill="background1"/>
          </w:tcPr>
          <w:p w14:paraId="04006677" w14:textId="7DA61092" w:rsidR="005D042F" w:rsidRPr="005F4AB5" w:rsidRDefault="001A478C" w:rsidP="005D042F">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49</w:t>
            </w:r>
          </w:p>
        </w:tc>
        <w:tc>
          <w:tcPr>
            <w:tcW w:w="0" w:type="auto"/>
            <w:shd w:val="clear" w:color="auto" w:fill="FFFFFF" w:themeFill="background1"/>
          </w:tcPr>
          <w:p w14:paraId="1E679F53" w14:textId="55F5A249" w:rsidR="005D042F" w:rsidRPr="005F4AB5" w:rsidRDefault="001A478C" w:rsidP="005D042F">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26</w:t>
            </w:r>
          </w:p>
        </w:tc>
        <w:tc>
          <w:tcPr>
            <w:tcW w:w="0" w:type="auto"/>
            <w:shd w:val="clear" w:color="auto" w:fill="FFFFFF" w:themeFill="background1"/>
          </w:tcPr>
          <w:p w14:paraId="0858008F" w14:textId="4B5FB285" w:rsidR="005D042F" w:rsidRPr="005F4AB5" w:rsidRDefault="001A478C" w:rsidP="005D042F">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331A136A" w14:textId="315076A7" w:rsidR="005D042F" w:rsidRPr="005F4AB5" w:rsidRDefault="001A478C" w:rsidP="005D042F">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0A679C75" w14:textId="76E4B271" w:rsidR="005D042F" w:rsidRPr="005F4AB5" w:rsidRDefault="001A478C" w:rsidP="005D042F">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43E9EAE7" w14:textId="4D8133AC" w:rsidR="005D042F" w:rsidRPr="005F4AB5" w:rsidRDefault="001A478C" w:rsidP="005D042F">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75</w:t>
            </w:r>
          </w:p>
        </w:tc>
      </w:tr>
      <w:tr w:rsidR="00104E16" w:rsidRPr="005F4AB5" w14:paraId="5B4C261E"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8F3A6FA" w14:textId="46D2778C" w:rsidR="00625158" w:rsidRPr="005F4AB5" w:rsidRDefault="005C3D2F" w:rsidP="005D042F">
            <w:pPr>
              <w:widowControl/>
              <w:autoSpaceDE/>
              <w:autoSpaceDN/>
              <w:rPr>
                <w:rFonts w:eastAsia="Times New Roman"/>
                <w:sz w:val="20"/>
                <w:szCs w:val="20"/>
                <w:lang w:val="en-GB" w:eastAsia="en-GB"/>
              </w:rPr>
            </w:pPr>
            <w:r w:rsidRPr="005F4AB5">
              <w:rPr>
                <w:rFonts w:eastAsia="Times New Roman"/>
                <w:sz w:val="20"/>
                <w:szCs w:val="20"/>
                <w:lang w:val="en-GB" w:eastAsia="en-GB"/>
              </w:rPr>
              <w:t>G</w:t>
            </w:r>
          </w:p>
        </w:tc>
        <w:tc>
          <w:tcPr>
            <w:tcW w:w="0" w:type="auto"/>
            <w:shd w:val="clear" w:color="auto" w:fill="FFFFFF" w:themeFill="background1"/>
          </w:tcPr>
          <w:p w14:paraId="565972E6" w14:textId="53783D3F" w:rsidR="00625158" w:rsidRPr="005F4AB5" w:rsidRDefault="00DD2F38" w:rsidP="005D042F">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sz w:val="20"/>
                <w:szCs w:val="20"/>
              </w:rPr>
              <w:t xml:space="preserve">JCS </w:t>
            </w:r>
            <w:r w:rsidR="005C3D2F" w:rsidRPr="005F4AB5">
              <w:rPr>
                <w:sz w:val="20"/>
                <w:szCs w:val="20"/>
              </w:rPr>
              <w:t xml:space="preserve">Strategic </w:t>
            </w:r>
            <w:r w:rsidRPr="005F4AB5">
              <w:rPr>
                <w:sz w:val="20"/>
                <w:szCs w:val="20"/>
              </w:rPr>
              <w:t xml:space="preserve">Allocations  </w:t>
            </w:r>
          </w:p>
        </w:tc>
        <w:tc>
          <w:tcPr>
            <w:tcW w:w="0" w:type="auto"/>
            <w:shd w:val="clear" w:color="auto" w:fill="FFFFFF" w:themeFill="background1"/>
          </w:tcPr>
          <w:p w14:paraId="4099D698" w14:textId="00BE9D45" w:rsidR="00625158" w:rsidRPr="005F4AB5" w:rsidRDefault="005C3D2F" w:rsidP="005D042F">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Under construction</w:t>
            </w:r>
          </w:p>
        </w:tc>
        <w:tc>
          <w:tcPr>
            <w:tcW w:w="0" w:type="auto"/>
            <w:shd w:val="clear" w:color="auto" w:fill="FFFFFF" w:themeFill="background1"/>
          </w:tcPr>
          <w:p w14:paraId="68CA546A" w14:textId="65EDB7E5" w:rsidR="00625158" w:rsidRPr="005F4AB5" w:rsidRDefault="005C3D2F" w:rsidP="005D042F">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22/00364/APP</w:t>
            </w:r>
          </w:p>
        </w:tc>
        <w:tc>
          <w:tcPr>
            <w:tcW w:w="0" w:type="auto"/>
            <w:shd w:val="clear" w:color="auto" w:fill="FFFFFF" w:themeFill="background1"/>
          </w:tcPr>
          <w:p w14:paraId="3515667C" w14:textId="15ECFE4E" w:rsidR="00625158" w:rsidRPr="005F4AB5" w:rsidRDefault="005C3D2F" w:rsidP="005D042F">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Land at Twigworth (Phase 3</w:t>
            </w:r>
            <w:r w:rsidR="005D042F" w:rsidRPr="005F4AB5">
              <w:rPr>
                <w:rFonts w:eastAsia="Times New Roman"/>
                <w:sz w:val="20"/>
                <w:szCs w:val="20"/>
                <w:lang w:val="en-GB" w:eastAsia="en-GB"/>
              </w:rPr>
              <w:t xml:space="preserve">) </w:t>
            </w:r>
          </w:p>
        </w:tc>
        <w:tc>
          <w:tcPr>
            <w:tcW w:w="0" w:type="auto"/>
            <w:shd w:val="clear" w:color="auto" w:fill="FFFFFF" w:themeFill="background1"/>
          </w:tcPr>
          <w:p w14:paraId="1109862E" w14:textId="7A8F58C0" w:rsidR="00625158" w:rsidRPr="005F4AB5" w:rsidRDefault="005D042F" w:rsidP="005D042F">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 xml:space="preserve">Twigworth </w:t>
            </w:r>
          </w:p>
        </w:tc>
        <w:tc>
          <w:tcPr>
            <w:tcW w:w="0" w:type="auto"/>
            <w:shd w:val="clear" w:color="auto" w:fill="FFFFFF" w:themeFill="background1"/>
          </w:tcPr>
          <w:p w14:paraId="356D521A" w14:textId="4942AD20" w:rsidR="00625158" w:rsidRPr="005F4AB5" w:rsidRDefault="005D042F" w:rsidP="005D042F">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340</w:t>
            </w:r>
          </w:p>
        </w:tc>
        <w:tc>
          <w:tcPr>
            <w:tcW w:w="0" w:type="auto"/>
            <w:shd w:val="clear" w:color="auto" w:fill="FFFFFF" w:themeFill="background1"/>
          </w:tcPr>
          <w:p w14:paraId="3DF37C8C" w14:textId="5F06688D" w:rsidR="00625158" w:rsidRPr="005F4AB5" w:rsidRDefault="005D042F" w:rsidP="005D042F">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27</w:t>
            </w:r>
          </w:p>
        </w:tc>
        <w:tc>
          <w:tcPr>
            <w:tcW w:w="0" w:type="auto"/>
            <w:shd w:val="clear" w:color="auto" w:fill="FFFFFF" w:themeFill="background1"/>
          </w:tcPr>
          <w:p w14:paraId="40FDDD2D" w14:textId="13E5E3E2" w:rsidR="00625158" w:rsidRPr="005F4AB5" w:rsidRDefault="005D042F" w:rsidP="005D042F">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661AEAC7" w14:textId="64CFC3CC" w:rsidR="00625158" w:rsidRPr="005F4AB5" w:rsidRDefault="005D042F" w:rsidP="005D042F">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31ADAF8F" w14:textId="11975A41" w:rsidR="00625158" w:rsidRPr="005F4AB5" w:rsidRDefault="005D042F" w:rsidP="005D042F">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tcPr>
          <w:p w14:paraId="6F34BD90" w14:textId="766E2DBA" w:rsidR="00625158" w:rsidRPr="005F4AB5" w:rsidRDefault="005D042F" w:rsidP="005D042F">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0</w:t>
            </w:r>
          </w:p>
        </w:tc>
        <w:tc>
          <w:tcPr>
            <w:tcW w:w="0" w:type="auto"/>
            <w:shd w:val="clear" w:color="auto" w:fill="FFFFFF" w:themeFill="background1"/>
            <w:noWrap/>
          </w:tcPr>
          <w:p w14:paraId="55593B7E" w14:textId="6E6DD167" w:rsidR="00625158" w:rsidRPr="005F4AB5" w:rsidRDefault="005D042F" w:rsidP="005D042F">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GB" w:eastAsia="en-GB"/>
              </w:rPr>
            </w:pPr>
            <w:r w:rsidRPr="005F4AB5">
              <w:rPr>
                <w:rFonts w:eastAsia="Times New Roman"/>
                <w:sz w:val="20"/>
                <w:szCs w:val="20"/>
                <w:lang w:val="en-GB" w:eastAsia="en-GB"/>
              </w:rPr>
              <w:t>27</w:t>
            </w:r>
          </w:p>
        </w:tc>
      </w:tr>
      <w:tr w:rsidR="00104E16" w:rsidRPr="005F4AB5" w14:paraId="6D087B80"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35F2278" w14:textId="0CBD1869" w:rsidR="005D042F" w:rsidRPr="005F4AB5" w:rsidRDefault="005D042F" w:rsidP="005D042F">
            <w:pPr>
              <w:widowControl/>
              <w:autoSpaceDE/>
              <w:autoSpaceDN/>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G</w:t>
            </w:r>
          </w:p>
        </w:tc>
        <w:tc>
          <w:tcPr>
            <w:tcW w:w="0" w:type="auto"/>
            <w:shd w:val="clear" w:color="auto" w:fill="FFFFFF" w:themeFill="background1"/>
          </w:tcPr>
          <w:p w14:paraId="43BA19B4" w14:textId="4D5E1EC7" w:rsidR="005D042F" w:rsidRPr="005F4AB5" w:rsidRDefault="005D042F" w:rsidP="005D042F">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hAnsiTheme="minorHAnsi" w:cstheme="minorHAnsi"/>
                <w:sz w:val="20"/>
                <w:szCs w:val="20"/>
              </w:rPr>
              <w:t xml:space="preserve">JCS Strategic Allocations  </w:t>
            </w:r>
          </w:p>
        </w:tc>
        <w:tc>
          <w:tcPr>
            <w:tcW w:w="0" w:type="auto"/>
            <w:shd w:val="clear" w:color="auto" w:fill="FFFFFF" w:themeFill="background1"/>
          </w:tcPr>
          <w:p w14:paraId="5578EC80" w14:textId="759CC33F" w:rsidR="005D042F" w:rsidRPr="005F4AB5" w:rsidRDefault="005D042F" w:rsidP="005D042F">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 xml:space="preserve">Not started </w:t>
            </w:r>
          </w:p>
        </w:tc>
        <w:tc>
          <w:tcPr>
            <w:tcW w:w="0" w:type="auto"/>
            <w:shd w:val="clear" w:color="auto" w:fill="FFFFFF" w:themeFill="background1"/>
          </w:tcPr>
          <w:p w14:paraId="1B15C9BD" w14:textId="23BB10CE" w:rsidR="005D042F" w:rsidRPr="005F4AB5" w:rsidRDefault="005D042F" w:rsidP="005D042F">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22/01367/PIP</w:t>
            </w:r>
          </w:p>
        </w:tc>
        <w:tc>
          <w:tcPr>
            <w:tcW w:w="0" w:type="auto"/>
            <w:shd w:val="clear" w:color="auto" w:fill="FFFFFF" w:themeFill="background1"/>
          </w:tcPr>
          <w:p w14:paraId="2DE905F8" w14:textId="6907EB2D" w:rsidR="005D042F" w:rsidRPr="005F4AB5" w:rsidRDefault="005D042F" w:rsidP="005D042F">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 xml:space="preserve">Land at Twigworth, Ash Lane  </w:t>
            </w:r>
          </w:p>
        </w:tc>
        <w:tc>
          <w:tcPr>
            <w:tcW w:w="0" w:type="auto"/>
            <w:shd w:val="clear" w:color="auto" w:fill="FFFFFF" w:themeFill="background1"/>
          </w:tcPr>
          <w:p w14:paraId="5F96B84F" w14:textId="5B81A4CE" w:rsidR="005D042F" w:rsidRPr="005F4AB5" w:rsidRDefault="005D042F" w:rsidP="005D042F">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Twigworth</w:t>
            </w:r>
          </w:p>
        </w:tc>
        <w:tc>
          <w:tcPr>
            <w:tcW w:w="0" w:type="auto"/>
            <w:shd w:val="clear" w:color="auto" w:fill="FFFFFF" w:themeFill="background1"/>
          </w:tcPr>
          <w:p w14:paraId="342997E6" w14:textId="6FD60520" w:rsidR="005D042F" w:rsidRPr="005F4AB5" w:rsidRDefault="005D042F" w:rsidP="005D042F">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2</w:t>
            </w:r>
          </w:p>
        </w:tc>
        <w:tc>
          <w:tcPr>
            <w:tcW w:w="0" w:type="auto"/>
            <w:shd w:val="clear" w:color="auto" w:fill="FFFFFF" w:themeFill="background1"/>
          </w:tcPr>
          <w:p w14:paraId="3AB52D4B" w14:textId="008F7D10" w:rsidR="005D042F" w:rsidRPr="005F4AB5" w:rsidRDefault="005D042F" w:rsidP="005D042F">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2</w:t>
            </w:r>
          </w:p>
        </w:tc>
        <w:tc>
          <w:tcPr>
            <w:tcW w:w="0" w:type="auto"/>
            <w:shd w:val="clear" w:color="auto" w:fill="FFFFFF" w:themeFill="background1"/>
          </w:tcPr>
          <w:p w14:paraId="53976ECF" w14:textId="020FCA77" w:rsidR="005D042F" w:rsidRPr="005F4AB5" w:rsidRDefault="005D042F" w:rsidP="005D042F">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0</w:t>
            </w:r>
          </w:p>
        </w:tc>
        <w:tc>
          <w:tcPr>
            <w:tcW w:w="0" w:type="auto"/>
            <w:shd w:val="clear" w:color="auto" w:fill="FFFFFF" w:themeFill="background1"/>
          </w:tcPr>
          <w:p w14:paraId="7382EFDC" w14:textId="1BBD7999" w:rsidR="005D042F" w:rsidRPr="005F4AB5" w:rsidRDefault="005D042F" w:rsidP="005D042F">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0</w:t>
            </w:r>
          </w:p>
        </w:tc>
        <w:tc>
          <w:tcPr>
            <w:tcW w:w="0" w:type="auto"/>
            <w:shd w:val="clear" w:color="auto" w:fill="FFFFFF" w:themeFill="background1"/>
          </w:tcPr>
          <w:p w14:paraId="0138C403" w14:textId="4EEEB18F" w:rsidR="005D042F" w:rsidRPr="005F4AB5" w:rsidRDefault="005D042F" w:rsidP="005D042F">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0</w:t>
            </w:r>
          </w:p>
        </w:tc>
        <w:tc>
          <w:tcPr>
            <w:tcW w:w="0" w:type="auto"/>
            <w:shd w:val="clear" w:color="auto" w:fill="FFFFFF" w:themeFill="background1"/>
          </w:tcPr>
          <w:p w14:paraId="79C44894" w14:textId="361E8B29" w:rsidR="005D042F" w:rsidRPr="005F4AB5" w:rsidRDefault="005D042F" w:rsidP="005D042F">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0</w:t>
            </w:r>
          </w:p>
        </w:tc>
        <w:tc>
          <w:tcPr>
            <w:tcW w:w="0" w:type="auto"/>
            <w:shd w:val="clear" w:color="auto" w:fill="FFFFFF" w:themeFill="background1"/>
            <w:noWrap/>
          </w:tcPr>
          <w:p w14:paraId="7A215D62" w14:textId="4CCD7BB6" w:rsidR="005D042F" w:rsidRPr="005F4AB5" w:rsidRDefault="005D042F" w:rsidP="005D042F">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2</w:t>
            </w:r>
          </w:p>
        </w:tc>
      </w:tr>
      <w:tr w:rsidR="00104E16" w:rsidRPr="005F4AB5" w14:paraId="2F5EEF5B"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976C3EC" w14:textId="09D23745" w:rsidR="00B8352D" w:rsidRPr="005F4AB5" w:rsidRDefault="00B8352D" w:rsidP="00B8352D">
            <w:pPr>
              <w:widowControl/>
              <w:autoSpaceDE/>
              <w:autoSpaceDN/>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lastRenderedPageBreak/>
              <w:t>G</w:t>
            </w:r>
          </w:p>
        </w:tc>
        <w:tc>
          <w:tcPr>
            <w:tcW w:w="0" w:type="auto"/>
            <w:shd w:val="clear" w:color="auto" w:fill="FFFFFF" w:themeFill="background1"/>
          </w:tcPr>
          <w:p w14:paraId="5C4740A0" w14:textId="55653D44" w:rsidR="00B8352D" w:rsidRPr="005F4AB5" w:rsidRDefault="00B8352D" w:rsidP="00B8352D">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hAnsiTheme="minorHAnsi" w:cstheme="minorHAnsi"/>
                <w:sz w:val="20"/>
                <w:szCs w:val="20"/>
              </w:rPr>
              <w:t xml:space="preserve">JCS Strategic Allocations  </w:t>
            </w:r>
          </w:p>
        </w:tc>
        <w:tc>
          <w:tcPr>
            <w:tcW w:w="0" w:type="auto"/>
            <w:shd w:val="clear" w:color="auto" w:fill="FFFFFF" w:themeFill="background1"/>
          </w:tcPr>
          <w:p w14:paraId="348718C3" w14:textId="7665AA9B" w:rsidR="00B8352D" w:rsidRPr="005F4AB5" w:rsidRDefault="00B8352D" w:rsidP="00B8352D">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Under construction</w:t>
            </w:r>
          </w:p>
        </w:tc>
        <w:tc>
          <w:tcPr>
            <w:tcW w:w="0" w:type="auto"/>
            <w:shd w:val="clear" w:color="auto" w:fill="FFFFFF" w:themeFill="background1"/>
          </w:tcPr>
          <w:p w14:paraId="3DCDB420" w14:textId="30986006" w:rsidR="00B8352D" w:rsidRPr="005F4AB5" w:rsidRDefault="00B8352D" w:rsidP="00B8352D">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hAnsiTheme="minorHAnsi" w:cstheme="minorHAnsi"/>
                <w:sz w:val="20"/>
                <w:szCs w:val="20"/>
              </w:rPr>
              <w:t>22/00251/APP</w:t>
            </w:r>
          </w:p>
        </w:tc>
        <w:tc>
          <w:tcPr>
            <w:tcW w:w="0" w:type="auto"/>
            <w:shd w:val="clear" w:color="auto" w:fill="FFFFFF" w:themeFill="background1"/>
          </w:tcPr>
          <w:p w14:paraId="55C7C40B" w14:textId="7A57073A" w:rsidR="00B8352D" w:rsidRPr="005F4AB5" w:rsidRDefault="00B8352D" w:rsidP="00B8352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5F4AB5">
              <w:rPr>
                <w:rFonts w:asciiTheme="minorHAnsi" w:hAnsiTheme="minorHAnsi" w:cstheme="minorHAnsi"/>
                <w:sz w:val="20"/>
                <w:szCs w:val="20"/>
              </w:rPr>
              <w:t>Land at Perrybrook (Phases 4 &amp; 6)</w:t>
            </w:r>
          </w:p>
          <w:p w14:paraId="17840DD0" w14:textId="6DC26508" w:rsidR="00B8352D" w:rsidRPr="005F4AB5" w:rsidRDefault="00B8352D" w:rsidP="00B8352D">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GB" w:eastAsia="en-GB"/>
              </w:rPr>
            </w:pPr>
          </w:p>
        </w:tc>
        <w:tc>
          <w:tcPr>
            <w:tcW w:w="0" w:type="auto"/>
            <w:shd w:val="clear" w:color="auto" w:fill="FFFFFF" w:themeFill="background1"/>
          </w:tcPr>
          <w:p w14:paraId="4012A467" w14:textId="4279457B" w:rsidR="00B8352D" w:rsidRPr="005F4AB5" w:rsidRDefault="00B8352D" w:rsidP="00B8352D">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Brockworth</w:t>
            </w:r>
          </w:p>
        </w:tc>
        <w:tc>
          <w:tcPr>
            <w:tcW w:w="0" w:type="auto"/>
            <w:shd w:val="clear" w:color="auto" w:fill="FFFFFF" w:themeFill="background1"/>
          </w:tcPr>
          <w:p w14:paraId="2639D3F8" w14:textId="2C45A600" w:rsidR="00B8352D" w:rsidRPr="005F4AB5" w:rsidRDefault="00B8352D" w:rsidP="00B8352D">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hAnsiTheme="minorHAnsi" w:cstheme="minorHAnsi"/>
                <w:sz w:val="20"/>
                <w:szCs w:val="20"/>
              </w:rPr>
              <w:t>435</w:t>
            </w:r>
          </w:p>
        </w:tc>
        <w:tc>
          <w:tcPr>
            <w:tcW w:w="0" w:type="auto"/>
            <w:shd w:val="clear" w:color="auto" w:fill="FFFFFF" w:themeFill="background1"/>
          </w:tcPr>
          <w:p w14:paraId="13858EB0" w14:textId="46DB87A2" w:rsidR="00B8352D" w:rsidRPr="005F4AB5" w:rsidRDefault="0028430B" w:rsidP="00B8352D">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98</w:t>
            </w:r>
          </w:p>
        </w:tc>
        <w:tc>
          <w:tcPr>
            <w:tcW w:w="0" w:type="auto"/>
            <w:shd w:val="clear" w:color="auto" w:fill="FFFFFF" w:themeFill="background1"/>
          </w:tcPr>
          <w:p w14:paraId="05BFB541" w14:textId="688E756B" w:rsidR="00B8352D" w:rsidRPr="005F4AB5" w:rsidRDefault="0028430B" w:rsidP="00B8352D">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98</w:t>
            </w:r>
          </w:p>
        </w:tc>
        <w:tc>
          <w:tcPr>
            <w:tcW w:w="0" w:type="auto"/>
            <w:shd w:val="clear" w:color="auto" w:fill="FFFFFF" w:themeFill="background1"/>
          </w:tcPr>
          <w:p w14:paraId="269944BF" w14:textId="5177E03B" w:rsidR="00B8352D" w:rsidRPr="005F4AB5" w:rsidRDefault="0028430B" w:rsidP="00B8352D">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94</w:t>
            </w:r>
          </w:p>
        </w:tc>
        <w:tc>
          <w:tcPr>
            <w:tcW w:w="0" w:type="auto"/>
            <w:shd w:val="clear" w:color="auto" w:fill="FFFFFF" w:themeFill="background1"/>
          </w:tcPr>
          <w:p w14:paraId="60EF2DD3" w14:textId="565BB8DF" w:rsidR="00B8352D" w:rsidRPr="005F4AB5" w:rsidRDefault="0028430B" w:rsidP="00B8352D">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0</w:t>
            </w:r>
          </w:p>
        </w:tc>
        <w:tc>
          <w:tcPr>
            <w:tcW w:w="0" w:type="auto"/>
            <w:shd w:val="clear" w:color="auto" w:fill="FFFFFF" w:themeFill="background1"/>
          </w:tcPr>
          <w:p w14:paraId="52BDDAB5" w14:textId="17D0258C" w:rsidR="00B8352D" w:rsidRPr="005F4AB5" w:rsidRDefault="0028430B" w:rsidP="00B8352D">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0</w:t>
            </w:r>
          </w:p>
        </w:tc>
        <w:tc>
          <w:tcPr>
            <w:tcW w:w="0" w:type="auto"/>
            <w:shd w:val="clear" w:color="auto" w:fill="FFFFFF" w:themeFill="background1"/>
            <w:noWrap/>
          </w:tcPr>
          <w:p w14:paraId="587C3089" w14:textId="620A7361" w:rsidR="00B8352D" w:rsidRPr="005F4AB5" w:rsidRDefault="0028430B" w:rsidP="00B8352D">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290</w:t>
            </w:r>
          </w:p>
        </w:tc>
      </w:tr>
      <w:tr w:rsidR="00104E16" w:rsidRPr="005F4AB5" w14:paraId="3300F42C"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8114C00" w14:textId="609F0B29" w:rsidR="00B8352D" w:rsidRPr="005F4AB5" w:rsidRDefault="00B8352D" w:rsidP="00B8352D">
            <w:pPr>
              <w:widowControl/>
              <w:autoSpaceDE/>
              <w:autoSpaceDN/>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G</w:t>
            </w:r>
          </w:p>
        </w:tc>
        <w:tc>
          <w:tcPr>
            <w:tcW w:w="0" w:type="auto"/>
            <w:shd w:val="clear" w:color="auto" w:fill="FFFFFF" w:themeFill="background1"/>
          </w:tcPr>
          <w:p w14:paraId="7A9D82F3" w14:textId="27EC31AC" w:rsidR="00B8352D" w:rsidRPr="005F4AB5" w:rsidRDefault="00B8352D" w:rsidP="00B8352D">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hAnsiTheme="minorHAnsi" w:cstheme="minorHAnsi"/>
                <w:sz w:val="20"/>
                <w:szCs w:val="20"/>
              </w:rPr>
              <w:t xml:space="preserve">JCS Strategic Allocations  </w:t>
            </w:r>
          </w:p>
        </w:tc>
        <w:tc>
          <w:tcPr>
            <w:tcW w:w="0" w:type="auto"/>
            <w:shd w:val="clear" w:color="auto" w:fill="FFFFFF" w:themeFill="background1"/>
          </w:tcPr>
          <w:p w14:paraId="07B59426" w14:textId="354EF04C" w:rsidR="00B8352D" w:rsidRPr="005F4AB5" w:rsidRDefault="00B8352D" w:rsidP="00B8352D">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Under construction</w:t>
            </w:r>
          </w:p>
        </w:tc>
        <w:tc>
          <w:tcPr>
            <w:tcW w:w="0" w:type="auto"/>
            <w:shd w:val="clear" w:color="auto" w:fill="FFFFFF" w:themeFill="background1"/>
          </w:tcPr>
          <w:p w14:paraId="5C01309F" w14:textId="60A8A569" w:rsidR="00B8352D" w:rsidRPr="005F4AB5" w:rsidRDefault="00B8352D" w:rsidP="00B8352D">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hAnsiTheme="minorHAnsi" w:cstheme="minorHAnsi"/>
                <w:sz w:val="20"/>
                <w:szCs w:val="20"/>
              </w:rPr>
              <w:t>22/00751/APP</w:t>
            </w:r>
          </w:p>
        </w:tc>
        <w:tc>
          <w:tcPr>
            <w:tcW w:w="0" w:type="auto"/>
            <w:shd w:val="clear" w:color="auto" w:fill="FFFFFF" w:themeFill="background1"/>
          </w:tcPr>
          <w:p w14:paraId="34B33428" w14:textId="2DD180A0" w:rsidR="00B8352D" w:rsidRPr="005F4AB5" w:rsidRDefault="00B8352D" w:rsidP="00B8352D">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Perrybrook off Valient Way (Phase 7)</w:t>
            </w:r>
          </w:p>
        </w:tc>
        <w:tc>
          <w:tcPr>
            <w:tcW w:w="0" w:type="auto"/>
            <w:shd w:val="clear" w:color="auto" w:fill="FFFFFF" w:themeFill="background1"/>
          </w:tcPr>
          <w:p w14:paraId="59E4A7B0" w14:textId="4DC3A1F2" w:rsidR="00B8352D" w:rsidRPr="005F4AB5" w:rsidRDefault="00B8352D" w:rsidP="00B8352D">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Brockworth</w:t>
            </w:r>
          </w:p>
        </w:tc>
        <w:tc>
          <w:tcPr>
            <w:tcW w:w="0" w:type="auto"/>
            <w:shd w:val="clear" w:color="auto" w:fill="FFFFFF" w:themeFill="background1"/>
          </w:tcPr>
          <w:p w14:paraId="3401FDE1" w14:textId="06FE1EDA" w:rsidR="00B8352D" w:rsidRPr="005F4AB5" w:rsidRDefault="00B8352D" w:rsidP="00B8352D">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hAnsiTheme="minorHAnsi" w:cstheme="minorHAnsi"/>
                <w:sz w:val="20"/>
                <w:szCs w:val="20"/>
              </w:rPr>
              <w:t>272</w:t>
            </w:r>
          </w:p>
        </w:tc>
        <w:tc>
          <w:tcPr>
            <w:tcW w:w="0" w:type="auto"/>
            <w:shd w:val="clear" w:color="auto" w:fill="FFFFFF" w:themeFill="background1"/>
          </w:tcPr>
          <w:p w14:paraId="4B756CA4" w14:textId="7EE21D68" w:rsidR="00B8352D" w:rsidRPr="005F4AB5" w:rsidRDefault="0028430B" w:rsidP="00B8352D">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0</w:t>
            </w:r>
          </w:p>
        </w:tc>
        <w:tc>
          <w:tcPr>
            <w:tcW w:w="0" w:type="auto"/>
            <w:shd w:val="clear" w:color="auto" w:fill="FFFFFF" w:themeFill="background1"/>
          </w:tcPr>
          <w:p w14:paraId="72D5A97D" w14:textId="65DDCD1F" w:rsidR="00B8352D" w:rsidRPr="005F4AB5" w:rsidRDefault="0028430B" w:rsidP="00B8352D">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25</w:t>
            </w:r>
          </w:p>
        </w:tc>
        <w:tc>
          <w:tcPr>
            <w:tcW w:w="0" w:type="auto"/>
            <w:shd w:val="clear" w:color="auto" w:fill="FFFFFF" w:themeFill="background1"/>
          </w:tcPr>
          <w:p w14:paraId="09D41F6B" w14:textId="395FDCA0" w:rsidR="00B8352D" w:rsidRPr="005F4AB5" w:rsidRDefault="0028430B" w:rsidP="00B8352D">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49</w:t>
            </w:r>
          </w:p>
        </w:tc>
        <w:tc>
          <w:tcPr>
            <w:tcW w:w="0" w:type="auto"/>
            <w:shd w:val="clear" w:color="auto" w:fill="FFFFFF" w:themeFill="background1"/>
          </w:tcPr>
          <w:p w14:paraId="29C5FADA" w14:textId="626F311A" w:rsidR="00B8352D" w:rsidRPr="005F4AB5" w:rsidRDefault="0028430B" w:rsidP="00B8352D">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49</w:t>
            </w:r>
          </w:p>
        </w:tc>
        <w:tc>
          <w:tcPr>
            <w:tcW w:w="0" w:type="auto"/>
            <w:shd w:val="clear" w:color="auto" w:fill="FFFFFF" w:themeFill="background1"/>
          </w:tcPr>
          <w:p w14:paraId="2B3552C4" w14:textId="5EEA1CB2" w:rsidR="00B8352D" w:rsidRPr="005F4AB5" w:rsidRDefault="0028430B" w:rsidP="00B8352D">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49</w:t>
            </w:r>
          </w:p>
        </w:tc>
        <w:tc>
          <w:tcPr>
            <w:tcW w:w="0" w:type="auto"/>
            <w:shd w:val="clear" w:color="auto" w:fill="FFFFFF" w:themeFill="background1"/>
            <w:noWrap/>
          </w:tcPr>
          <w:p w14:paraId="37B4ED50" w14:textId="11400B74" w:rsidR="00B8352D" w:rsidRPr="005F4AB5" w:rsidRDefault="0028430B" w:rsidP="00B8352D">
            <w:pPr>
              <w:widowControl/>
              <w:autoSpaceDE/>
              <w:autoSpaceDN/>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172</w:t>
            </w:r>
          </w:p>
        </w:tc>
      </w:tr>
      <w:tr w:rsidR="00104E16" w:rsidRPr="005F4AB5" w14:paraId="078C78E3" w14:textId="77777777" w:rsidTr="00BC3D90">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6A41B38" w14:textId="507C0D78" w:rsidR="00B8352D" w:rsidRPr="005F4AB5" w:rsidRDefault="00B8352D" w:rsidP="00B8352D">
            <w:pPr>
              <w:widowControl/>
              <w:autoSpaceDE/>
              <w:autoSpaceDN/>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G</w:t>
            </w:r>
          </w:p>
        </w:tc>
        <w:tc>
          <w:tcPr>
            <w:tcW w:w="0" w:type="auto"/>
            <w:shd w:val="clear" w:color="auto" w:fill="FFFFFF" w:themeFill="background1"/>
          </w:tcPr>
          <w:p w14:paraId="20B50804" w14:textId="2B3A5067" w:rsidR="00B8352D" w:rsidRPr="005F4AB5" w:rsidRDefault="00B8352D" w:rsidP="00B8352D">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hAnsiTheme="minorHAnsi" w:cstheme="minorHAnsi"/>
                <w:sz w:val="20"/>
                <w:szCs w:val="20"/>
              </w:rPr>
              <w:t xml:space="preserve">JCS Strategic Allocations  </w:t>
            </w:r>
          </w:p>
        </w:tc>
        <w:tc>
          <w:tcPr>
            <w:tcW w:w="0" w:type="auto"/>
            <w:shd w:val="clear" w:color="auto" w:fill="FFFFFF" w:themeFill="background1"/>
          </w:tcPr>
          <w:p w14:paraId="5C013EAB" w14:textId="30657458" w:rsidR="00B8352D" w:rsidRPr="005F4AB5" w:rsidRDefault="00B8352D" w:rsidP="00B8352D">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Under construction</w:t>
            </w:r>
          </w:p>
        </w:tc>
        <w:tc>
          <w:tcPr>
            <w:tcW w:w="0" w:type="auto"/>
            <w:shd w:val="clear" w:color="auto" w:fill="FFFFFF" w:themeFill="background1"/>
          </w:tcPr>
          <w:p w14:paraId="36CE0F52" w14:textId="40DEA82D" w:rsidR="00B8352D" w:rsidRPr="005F4AB5" w:rsidRDefault="00B8352D" w:rsidP="00B8352D">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hAnsiTheme="minorHAnsi" w:cstheme="minorHAnsi"/>
                <w:sz w:val="20"/>
                <w:szCs w:val="20"/>
              </w:rPr>
              <w:t>20/00608/FUL</w:t>
            </w:r>
          </w:p>
        </w:tc>
        <w:tc>
          <w:tcPr>
            <w:tcW w:w="0" w:type="auto"/>
            <w:shd w:val="clear" w:color="auto" w:fill="FFFFFF" w:themeFill="background1"/>
          </w:tcPr>
          <w:p w14:paraId="1A2E9788" w14:textId="107823B8" w:rsidR="00B8352D" w:rsidRPr="005F4AB5" w:rsidRDefault="00B8352D" w:rsidP="00B8352D">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Land north of Perrybrook, Shurdington Road</w:t>
            </w:r>
          </w:p>
        </w:tc>
        <w:tc>
          <w:tcPr>
            <w:tcW w:w="0" w:type="auto"/>
            <w:shd w:val="clear" w:color="auto" w:fill="FFFFFF" w:themeFill="background1"/>
          </w:tcPr>
          <w:p w14:paraId="0877EE9D" w14:textId="6528ACA9" w:rsidR="00B8352D" w:rsidRPr="005F4AB5" w:rsidRDefault="00B8352D" w:rsidP="00B8352D">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Brockworth</w:t>
            </w:r>
          </w:p>
        </w:tc>
        <w:tc>
          <w:tcPr>
            <w:tcW w:w="0" w:type="auto"/>
            <w:shd w:val="clear" w:color="auto" w:fill="FFFFFF" w:themeFill="background1"/>
          </w:tcPr>
          <w:p w14:paraId="7C09A4F8" w14:textId="5DF2444B" w:rsidR="00B8352D" w:rsidRPr="005F4AB5" w:rsidRDefault="00B8352D" w:rsidP="00B8352D">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hAnsiTheme="minorHAnsi" w:cstheme="minorHAnsi"/>
                <w:sz w:val="20"/>
                <w:szCs w:val="20"/>
              </w:rPr>
              <w:t>47</w:t>
            </w:r>
          </w:p>
        </w:tc>
        <w:tc>
          <w:tcPr>
            <w:tcW w:w="0" w:type="auto"/>
            <w:shd w:val="clear" w:color="auto" w:fill="FFFFFF" w:themeFill="background1"/>
          </w:tcPr>
          <w:p w14:paraId="190AB72E" w14:textId="61042C5F" w:rsidR="00B8352D" w:rsidRPr="005F4AB5" w:rsidRDefault="0028430B" w:rsidP="00B8352D">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0</w:t>
            </w:r>
          </w:p>
        </w:tc>
        <w:tc>
          <w:tcPr>
            <w:tcW w:w="0" w:type="auto"/>
            <w:shd w:val="clear" w:color="auto" w:fill="FFFFFF" w:themeFill="background1"/>
          </w:tcPr>
          <w:p w14:paraId="4B222791" w14:textId="0DC6FA92" w:rsidR="00B8352D" w:rsidRPr="005F4AB5" w:rsidRDefault="0028430B" w:rsidP="00B8352D">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20</w:t>
            </w:r>
          </w:p>
        </w:tc>
        <w:tc>
          <w:tcPr>
            <w:tcW w:w="0" w:type="auto"/>
            <w:shd w:val="clear" w:color="auto" w:fill="FFFFFF" w:themeFill="background1"/>
          </w:tcPr>
          <w:p w14:paraId="7854C6EE" w14:textId="556673C8" w:rsidR="00B8352D" w:rsidRPr="005F4AB5" w:rsidRDefault="0028430B" w:rsidP="00B8352D">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27</w:t>
            </w:r>
          </w:p>
        </w:tc>
        <w:tc>
          <w:tcPr>
            <w:tcW w:w="0" w:type="auto"/>
            <w:shd w:val="clear" w:color="auto" w:fill="FFFFFF" w:themeFill="background1"/>
          </w:tcPr>
          <w:p w14:paraId="67608FD2" w14:textId="56749CCB" w:rsidR="00B8352D" w:rsidRPr="005F4AB5" w:rsidRDefault="0028430B" w:rsidP="00B8352D">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0</w:t>
            </w:r>
          </w:p>
        </w:tc>
        <w:tc>
          <w:tcPr>
            <w:tcW w:w="0" w:type="auto"/>
            <w:shd w:val="clear" w:color="auto" w:fill="FFFFFF" w:themeFill="background1"/>
          </w:tcPr>
          <w:p w14:paraId="7E7A52C3" w14:textId="52AFE91E" w:rsidR="00B8352D" w:rsidRPr="005F4AB5" w:rsidRDefault="0028430B" w:rsidP="00B8352D">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0</w:t>
            </w:r>
          </w:p>
        </w:tc>
        <w:tc>
          <w:tcPr>
            <w:tcW w:w="0" w:type="auto"/>
            <w:shd w:val="clear" w:color="auto" w:fill="FFFFFF" w:themeFill="background1"/>
            <w:noWrap/>
          </w:tcPr>
          <w:p w14:paraId="35C5FD20" w14:textId="272A3C01" w:rsidR="00B8352D" w:rsidRPr="005F4AB5" w:rsidRDefault="0028430B" w:rsidP="00B8352D">
            <w:pPr>
              <w:widowControl/>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GB" w:eastAsia="en-GB"/>
              </w:rPr>
            </w:pPr>
            <w:r w:rsidRPr="005F4AB5">
              <w:rPr>
                <w:rFonts w:asciiTheme="minorHAnsi" w:eastAsia="Times New Roman" w:hAnsiTheme="minorHAnsi" w:cstheme="minorHAnsi"/>
                <w:sz w:val="20"/>
                <w:szCs w:val="20"/>
                <w:lang w:val="en-GB" w:eastAsia="en-GB"/>
              </w:rPr>
              <w:t>47</w:t>
            </w:r>
          </w:p>
        </w:tc>
      </w:tr>
      <w:tr w:rsidR="00104E16" w:rsidRPr="00A34DD5" w14:paraId="740084D8" w14:textId="77777777" w:rsidTr="00BC3D9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FFFFFF" w:themeFill="background1"/>
          </w:tcPr>
          <w:p w14:paraId="7CC87561" w14:textId="483F6D20" w:rsidR="0028430B" w:rsidRPr="005F4AB5" w:rsidRDefault="00BC3D90" w:rsidP="00BC3D90">
            <w:pPr>
              <w:widowControl/>
              <w:autoSpaceDE/>
              <w:autoSpaceDN/>
              <w:jc w:val="right"/>
              <w:rPr>
                <w:rFonts w:eastAsia="Times New Roman"/>
                <w:sz w:val="20"/>
                <w:szCs w:val="20"/>
                <w:lang w:val="en-GB" w:eastAsia="en-GB"/>
              </w:rPr>
            </w:pPr>
            <w:r w:rsidRPr="005F4AB5">
              <w:rPr>
                <w:rFonts w:eastAsia="Times New Roman"/>
                <w:sz w:val="20"/>
                <w:szCs w:val="20"/>
                <w:lang w:val="en-GB" w:eastAsia="en-GB"/>
              </w:rPr>
              <w:t xml:space="preserve">TOTALS  </w:t>
            </w:r>
          </w:p>
        </w:tc>
        <w:tc>
          <w:tcPr>
            <w:tcW w:w="0" w:type="auto"/>
            <w:shd w:val="clear" w:color="auto" w:fill="FFFFFF" w:themeFill="background1"/>
          </w:tcPr>
          <w:p w14:paraId="314C0C51" w14:textId="4C0151C6" w:rsidR="0028430B" w:rsidRPr="005F4AB5" w:rsidRDefault="00BC3D90" w:rsidP="00BC3D90">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b/>
                <w:bCs/>
                <w:sz w:val="20"/>
                <w:szCs w:val="20"/>
                <w:lang w:val="en-GB" w:eastAsia="en-GB"/>
              </w:rPr>
            </w:pPr>
            <w:r w:rsidRPr="005F4AB5">
              <w:rPr>
                <w:rFonts w:eastAsia="Times New Roman"/>
                <w:b/>
                <w:bCs/>
                <w:sz w:val="20"/>
                <w:szCs w:val="20"/>
                <w:lang w:val="en-GB" w:eastAsia="en-GB"/>
              </w:rPr>
              <w:t>4,</w:t>
            </w:r>
            <w:r w:rsidR="00180420">
              <w:rPr>
                <w:rFonts w:eastAsia="Times New Roman"/>
                <w:b/>
                <w:bCs/>
                <w:sz w:val="20"/>
                <w:szCs w:val="20"/>
                <w:lang w:val="en-GB" w:eastAsia="en-GB"/>
              </w:rPr>
              <w:t>224</w:t>
            </w:r>
          </w:p>
        </w:tc>
        <w:tc>
          <w:tcPr>
            <w:tcW w:w="0" w:type="auto"/>
            <w:shd w:val="clear" w:color="auto" w:fill="FFFFFF" w:themeFill="background1"/>
          </w:tcPr>
          <w:p w14:paraId="4D813F7D" w14:textId="53B69E1E" w:rsidR="0028430B" w:rsidRPr="005F4AB5" w:rsidRDefault="00B3746E" w:rsidP="00BC3D90">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b/>
                <w:bCs/>
                <w:sz w:val="20"/>
                <w:szCs w:val="20"/>
                <w:lang w:val="en-GB" w:eastAsia="en-GB"/>
              </w:rPr>
            </w:pPr>
            <w:r w:rsidRPr="005F4AB5">
              <w:rPr>
                <w:rFonts w:eastAsia="Times New Roman"/>
                <w:b/>
                <w:bCs/>
                <w:sz w:val="20"/>
                <w:szCs w:val="20"/>
                <w:lang w:val="en-GB" w:eastAsia="en-GB"/>
              </w:rPr>
              <w:t>512</w:t>
            </w:r>
            <w:r w:rsidR="00516E88" w:rsidRPr="005F4AB5">
              <w:rPr>
                <w:rFonts w:eastAsia="Times New Roman"/>
                <w:b/>
                <w:bCs/>
                <w:sz w:val="20"/>
                <w:szCs w:val="20"/>
                <w:lang w:val="en-GB" w:eastAsia="en-GB"/>
              </w:rPr>
              <w:t xml:space="preserve"> </w:t>
            </w:r>
          </w:p>
        </w:tc>
        <w:tc>
          <w:tcPr>
            <w:tcW w:w="0" w:type="auto"/>
            <w:shd w:val="clear" w:color="auto" w:fill="FFFFFF" w:themeFill="background1"/>
          </w:tcPr>
          <w:p w14:paraId="77F202CD" w14:textId="77777777" w:rsidR="0028430B" w:rsidRPr="005F4AB5" w:rsidRDefault="00B3746E" w:rsidP="00BC3D90">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b/>
                <w:bCs/>
                <w:sz w:val="20"/>
                <w:szCs w:val="20"/>
                <w:lang w:val="en-GB" w:eastAsia="en-GB"/>
              </w:rPr>
            </w:pPr>
            <w:r w:rsidRPr="005F4AB5">
              <w:rPr>
                <w:rFonts w:eastAsia="Times New Roman"/>
                <w:b/>
                <w:bCs/>
                <w:sz w:val="20"/>
                <w:szCs w:val="20"/>
                <w:lang w:val="en-GB" w:eastAsia="en-GB"/>
              </w:rPr>
              <w:t>46</w:t>
            </w:r>
            <w:r w:rsidR="0048009F" w:rsidRPr="005F4AB5">
              <w:rPr>
                <w:rFonts w:eastAsia="Times New Roman"/>
                <w:b/>
                <w:bCs/>
                <w:sz w:val="20"/>
                <w:szCs w:val="20"/>
                <w:lang w:val="en-GB" w:eastAsia="en-GB"/>
              </w:rPr>
              <w:t>4</w:t>
            </w:r>
          </w:p>
          <w:p w14:paraId="726D83DC" w14:textId="45D4EEC1" w:rsidR="002B48FD" w:rsidRPr="005F4AB5" w:rsidRDefault="002B48FD" w:rsidP="00BC3D90">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b/>
                <w:bCs/>
                <w:sz w:val="20"/>
                <w:szCs w:val="20"/>
                <w:lang w:val="en-GB" w:eastAsia="en-GB"/>
              </w:rPr>
            </w:pPr>
          </w:p>
        </w:tc>
        <w:tc>
          <w:tcPr>
            <w:tcW w:w="0" w:type="auto"/>
            <w:shd w:val="clear" w:color="auto" w:fill="FFFFFF" w:themeFill="background1"/>
          </w:tcPr>
          <w:p w14:paraId="041B7F5C" w14:textId="77777777" w:rsidR="0028430B" w:rsidRPr="005F4AB5" w:rsidRDefault="00B3746E" w:rsidP="00BC3D90">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b/>
                <w:bCs/>
                <w:sz w:val="20"/>
                <w:szCs w:val="20"/>
                <w:lang w:val="en-GB" w:eastAsia="en-GB"/>
              </w:rPr>
            </w:pPr>
            <w:r w:rsidRPr="005F4AB5">
              <w:rPr>
                <w:rFonts w:eastAsia="Times New Roman"/>
                <w:b/>
                <w:bCs/>
                <w:sz w:val="20"/>
                <w:szCs w:val="20"/>
                <w:lang w:val="en-GB" w:eastAsia="en-GB"/>
              </w:rPr>
              <w:t>454</w:t>
            </w:r>
          </w:p>
          <w:p w14:paraId="6E688CE0" w14:textId="15C9FA20" w:rsidR="002B48FD" w:rsidRPr="005F4AB5" w:rsidRDefault="002B48FD" w:rsidP="00BC3D90">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b/>
                <w:bCs/>
                <w:sz w:val="20"/>
                <w:szCs w:val="20"/>
                <w:lang w:val="en-GB" w:eastAsia="en-GB"/>
              </w:rPr>
            </w:pPr>
          </w:p>
        </w:tc>
        <w:tc>
          <w:tcPr>
            <w:tcW w:w="0" w:type="auto"/>
            <w:shd w:val="clear" w:color="auto" w:fill="FFFFFF" w:themeFill="background1"/>
          </w:tcPr>
          <w:p w14:paraId="3BF15441" w14:textId="5D8D753A" w:rsidR="0028430B" w:rsidRPr="005F4AB5" w:rsidRDefault="00B3746E" w:rsidP="00BC3D90">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b/>
                <w:bCs/>
                <w:sz w:val="20"/>
                <w:szCs w:val="20"/>
                <w:lang w:val="en-GB" w:eastAsia="en-GB"/>
              </w:rPr>
            </w:pPr>
            <w:r w:rsidRPr="005F4AB5">
              <w:rPr>
                <w:rFonts w:eastAsia="Times New Roman"/>
                <w:b/>
                <w:bCs/>
                <w:sz w:val="20"/>
                <w:szCs w:val="20"/>
                <w:lang w:val="en-GB" w:eastAsia="en-GB"/>
              </w:rPr>
              <w:t>396</w:t>
            </w:r>
          </w:p>
        </w:tc>
        <w:tc>
          <w:tcPr>
            <w:tcW w:w="0" w:type="auto"/>
            <w:shd w:val="clear" w:color="auto" w:fill="FFFFFF" w:themeFill="background1"/>
          </w:tcPr>
          <w:p w14:paraId="343A043A" w14:textId="32F2201F" w:rsidR="0028430B" w:rsidRPr="005F4AB5" w:rsidRDefault="00B3746E" w:rsidP="00BC3D90">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b/>
                <w:bCs/>
                <w:sz w:val="20"/>
                <w:szCs w:val="20"/>
                <w:lang w:val="en-GB" w:eastAsia="en-GB"/>
              </w:rPr>
            </w:pPr>
            <w:r w:rsidRPr="005F4AB5">
              <w:rPr>
                <w:rFonts w:eastAsia="Times New Roman"/>
                <w:b/>
                <w:bCs/>
                <w:sz w:val="20"/>
                <w:szCs w:val="20"/>
                <w:lang w:val="en-GB" w:eastAsia="en-GB"/>
              </w:rPr>
              <w:t>343</w:t>
            </w:r>
          </w:p>
        </w:tc>
        <w:tc>
          <w:tcPr>
            <w:tcW w:w="0" w:type="auto"/>
            <w:shd w:val="clear" w:color="auto" w:fill="FFFFFF" w:themeFill="background1"/>
            <w:noWrap/>
          </w:tcPr>
          <w:p w14:paraId="30C0EAE8" w14:textId="17A0DBAE" w:rsidR="0028430B" w:rsidRPr="00A34DD5" w:rsidRDefault="00BC3D90" w:rsidP="00BC3D90">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b/>
                <w:bCs/>
                <w:sz w:val="20"/>
                <w:szCs w:val="20"/>
                <w:lang w:val="en-GB" w:eastAsia="en-GB"/>
              </w:rPr>
            </w:pPr>
            <w:r w:rsidRPr="005F4AB5">
              <w:rPr>
                <w:rFonts w:eastAsia="Times New Roman"/>
                <w:b/>
                <w:bCs/>
                <w:sz w:val="20"/>
                <w:szCs w:val="20"/>
                <w:lang w:val="en-GB" w:eastAsia="en-GB"/>
              </w:rPr>
              <w:t>2</w:t>
            </w:r>
            <w:r w:rsidR="00B3746E" w:rsidRPr="005F4AB5">
              <w:rPr>
                <w:rFonts w:eastAsia="Times New Roman"/>
                <w:b/>
                <w:bCs/>
                <w:sz w:val="20"/>
                <w:szCs w:val="20"/>
                <w:lang w:val="en-GB" w:eastAsia="en-GB"/>
              </w:rPr>
              <w:t>,</w:t>
            </w:r>
            <w:r w:rsidR="00524E73">
              <w:rPr>
                <w:rFonts w:eastAsia="Times New Roman"/>
                <w:b/>
                <w:bCs/>
                <w:sz w:val="20"/>
                <w:szCs w:val="20"/>
                <w:lang w:val="en-GB" w:eastAsia="en-GB"/>
              </w:rPr>
              <w:t>292</w:t>
            </w:r>
          </w:p>
        </w:tc>
      </w:tr>
    </w:tbl>
    <w:p w14:paraId="15D9736C" w14:textId="77777777" w:rsidR="00294818" w:rsidRDefault="00294818" w:rsidP="000D58DB">
      <w:pPr>
        <w:pStyle w:val="ListParagraph"/>
        <w:spacing w:line="276" w:lineRule="auto"/>
        <w:ind w:left="709" w:right="312" w:firstLine="0"/>
        <w:jc w:val="left"/>
        <w:rPr>
          <w:sz w:val="20"/>
          <w:szCs w:val="20"/>
        </w:rPr>
      </w:pPr>
    </w:p>
    <w:p w14:paraId="18F47309" w14:textId="77777777" w:rsidR="00104E16" w:rsidRDefault="00104E16" w:rsidP="000D58DB">
      <w:pPr>
        <w:pStyle w:val="ListParagraph"/>
        <w:spacing w:line="276" w:lineRule="auto"/>
        <w:ind w:left="709" w:right="312" w:firstLine="0"/>
        <w:jc w:val="left"/>
        <w:rPr>
          <w:sz w:val="20"/>
          <w:szCs w:val="20"/>
        </w:rPr>
      </w:pPr>
    </w:p>
    <w:p w14:paraId="6567DAF5" w14:textId="77777777" w:rsidR="00104E16" w:rsidRDefault="00104E16" w:rsidP="000D58DB">
      <w:pPr>
        <w:pStyle w:val="ListParagraph"/>
        <w:spacing w:line="276" w:lineRule="auto"/>
        <w:ind w:left="709" w:right="312" w:firstLine="0"/>
        <w:jc w:val="left"/>
        <w:rPr>
          <w:sz w:val="20"/>
          <w:szCs w:val="20"/>
        </w:rPr>
      </w:pPr>
    </w:p>
    <w:p w14:paraId="4CC1F3D3" w14:textId="77777777" w:rsidR="00104E16" w:rsidRDefault="00104E16" w:rsidP="000D58DB">
      <w:pPr>
        <w:pStyle w:val="ListParagraph"/>
        <w:spacing w:line="276" w:lineRule="auto"/>
        <w:ind w:left="709" w:right="312" w:firstLine="0"/>
        <w:jc w:val="left"/>
        <w:rPr>
          <w:sz w:val="20"/>
          <w:szCs w:val="20"/>
        </w:rPr>
      </w:pPr>
    </w:p>
    <w:p w14:paraId="55085EFB" w14:textId="77777777" w:rsidR="00104E16" w:rsidRDefault="00104E16" w:rsidP="000D58DB">
      <w:pPr>
        <w:pStyle w:val="ListParagraph"/>
        <w:spacing w:line="276" w:lineRule="auto"/>
        <w:ind w:left="709" w:right="312" w:firstLine="0"/>
        <w:jc w:val="left"/>
        <w:rPr>
          <w:sz w:val="20"/>
          <w:szCs w:val="20"/>
        </w:rPr>
      </w:pPr>
    </w:p>
    <w:p w14:paraId="0D77BBAF" w14:textId="77777777" w:rsidR="00104E16" w:rsidRDefault="00104E16" w:rsidP="000D58DB">
      <w:pPr>
        <w:pStyle w:val="ListParagraph"/>
        <w:spacing w:line="276" w:lineRule="auto"/>
        <w:ind w:left="709" w:right="312" w:firstLine="0"/>
        <w:jc w:val="left"/>
        <w:rPr>
          <w:sz w:val="20"/>
          <w:szCs w:val="20"/>
        </w:rPr>
      </w:pPr>
    </w:p>
    <w:p w14:paraId="3AAB84D4" w14:textId="77777777" w:rsidR="00104E16" w:rsidRDefault="00104E16" w:rsidP="000D58DB">
      <w:pPr>
        <w:pStyle w:val="ListParagraph"/>
        <w:spacing w:line="276" w:lineRule="auto"/>
        <w:ind w:left="709" w:right="312" w:firstLine="0"/>
        <w:jc w:val="left"/>
        <w:rPr>
          <w:sz w:val="20"/>
          <w:szCs w:val="20"/>
        </w:rPr>
      </w:pPr>
    </w:p>
    <w:p w14:paraId="46BC2FD1" w14:textId="77777777" w:rsidR="00104E16" w:rsidRDefault="00104E16" w:rsidP="000D58DB">
      <w:pPr>
        <w:pStyle w:val="ListParagraph"/>
        <w:spacing w:line="276" w:lineRule="auto"/>
        <w:ind w:left="709" w:right="312" w:firstLine="0"/>
        <w:jc w:val="left"/>
        <w:rPr>
          <w:sz w:val="20"/>
          <w:szCs w:val="20"/>
        </w:rPr>
      </w:pPr>
    </w:p>
    <w:p w14:paraId="12D4EDD3" w14:textId="77777777" w:rsidR="00104E16" w:rsidRDefault="00104E16" w:rsidP="000D58DB">
      <w:pPr>
        <w:pStyle w:val="ListParagraph"/>
        <w:spacing w:line="276" w:lineRule="auto"/>
        <w:ind w:left="709" w:right="312" w:firstLine="0"/>
        <w:jc w:val="left"/>
        <w:rPr>
          <w:sz w:val="20"/>
          <w:szCs w:val="20"/>
        </w:rPr>
      </w:pPr>
    </w:p>
    <w:p w14:paraId="6030839F" w14:textId="77777777" w:rsidR="00104E16" w:rsidRDefault="00104E16" w:rsidP="000D58DB">
      <w:pPr>
        <w:pStyle w:val="ListParagraph"/>
        <w:spacing w:line="276" w:lineRule="auto"/>
        <w:ind w:left="709" w:right="312" w:firstLine="0"/>
        <w:jc w:val="left"/>
        <w:rPr>
          <w:sz w:val="20"/>
          <w:szCs w:val="20"/>
        </w:rPr>
      </w:pPr>
    </w:p>
    <w:p w14:paraId="7E234BE8" w14:textId="77777777" w:rsidR="00104E16" w:rsidRDefault="00104E16" w:rsidP="000D58DB">
      <w:pPr>
        <w:pStyle w:val="ListParagraph"/>
        <w:spacing w:line="276" w:lineRule="auto"/>
        <w:ind w:left="709" w:right="312" w:firstLine="0"/>
        <w:jc w:val="left"/>
        <w:rPr>
          <w:sz w:val="20"/>
          <w:szCs w:val="20"/>
        </w:rPr>
      </w:pPr>
    </w:p>
    <w:p w14:paraId="1D5C182E" w14:textId="77777777" w:rsidR="00104E16" w:rsidRDefault="00104E16" w:rsidP="000D58DB">
      <w:pPr>
        <w:pStyle w:val="ListParagraph"/>
        <w:spacing w:line="276" w:lineRule="auto"/>
        <w:ind w:left="709" w:right="312" w:firstLine="0"/>
        <w:jc w:val="left"/>
        <w:rPr>
          <w:sz w:val="20"/>
          <w:szCs w:val="20"/>
        </w:rPr>
      </w:pPr>
    </w:p>
    <w:p w14:paraId="4D44AD8C" w14:textId="77777777" w:rsidR="00104E16" w:rsidRDefault="00104E16" w:rsidP="000D58DB">
      <w:pPr>
        <w:pStyle w:val="ListParagraph"/>
        <w:spacing w:line="276" w:lineRule="auto"/>
        <w:ind w:left="709" w:right="312" w:firstLine="0"/>
        <w:jc w:val="left"/>
        <w:rPr>
          <w:sz w:val="20"/>
          <w:szCs w:val="20"/>
        </w:rPr>
      </w:pPr>
    </w:p>
    <w:p w14:paraId="6FB0A520" w14:textId="77777777" w:rsidR="00104E16" w:rsidRDefault="00104E16" w:rsidP="000D58DB">
      <w:pPr>
        <w:pStyle w:val="ListParagraph"/>
        <w:spacing w:line="276" w:lineRule="auto"/>
        <w:ind w:left="709" w:right="312" w:firstLine="0"/>
        <w:jc w:val="left"/>
        <w:rPr>
          <w:sz w:val="20"/>
          <w:szCs w:val="20"/>
        </w:rPr>
      </w:pPr>
    </w:p>
    <w:p w14:paraId="48DAFEB2" w14:textId="77777777" w:rsidR="00104E16" w:rsidRDefault="00104E16" w:rsidP="000D58DB">
      <w:pPr>
        <w:pStyle w:val="ListParagraph"/>
        <w:spacing w:line="276" w:lineRule="auto"/>
        <w:ind w:left="709" w:right="312" w:firstLine="0"/>
        <w:jc w:val="left"/>
        <w:rPr>
          <w:sz w:val="20"/>
          <w:szCs w:val="20"/>
        </w:rPr>
      </w:pPr>
    </w:p>
    <w:p w14:paraId="3BFC49D6" w14:textId="77777777" w:rsidR="00104E16" w:rsidRDefault="00104E16" w:rsidP="000D58DB">
      <w:pPr>
        <w:pStyle w:val="ListParagraph"/>
        <w:spacing w:line="276" w:lineRule="auto"/>
        <w:ind w:left="709" w:right="312" w:firstLine="0"/>
        <w:jc w:val="left"/>
        <w:rPr>
          <w:sz w:val="20"/>
          <w:szCs w:val="20"/>
        </w:rPr>
      </w:pPr>
    </w:p>
    <w:p w14:paraId="7445D8D8" w14:textId="77777777" w:rsidR="00104E16" w:rsidRDefault="00104E16" w:rsidP="000D58DB">
      <w:pPr>
        <w:pStyle w:val="ListParagraph"/>
        <w:spacing w:line="276" w:lineRule="auto"/>
        <w:ind w:left="709" w:right="312" w:firstLine="0"/>
        <w:jc w:val="left"/>
        <w:rPr>
          <w:sz w:val="20"/>
          <w:szCs w:val="20"/>
        </w:rPr>
      </w:pPr>
    </w:p>
    <w:p w14:paraId="3A76EFB6" w14:textId="77777777" w:rsidR="00104E16" w:rsidRDefault="00104E16" w:rsidP="000D58DB">
      <w:pPr>
        <w:pStyle w:val="ListParagraph"/>
        <w:spacing w:line="276" w:lineRule="auto"/>
        <w:ind w:left="709" w:right="312" w:firstLine="0"/>
        <w:jc w:val="left"/>
        <w:rPr>
          <w:sz w:val="20"/>
          <w:szCs w:val="20"/>
        </w:rPr>
      </w:pPr>
    </w:p>
    <w:p w14:paraId="73789B14" w14:textId="77777777" w:rsidR="00104E16" w:rsidRDefault="00104E16" w:rsidP="000D58DB">
      <w:pPr>
        <w:pStyle w:val="ListParagraph"/>
        <w:spacing w:line="276" w:lineRule="auto"/>
        <w:ind w:left="709" w:right="312" w:firstLine="0"/>
        <w:jc w:val="left"/>
        <w:rPr>
          <w:sz w:val="20"/>
          <w:szCs w:val="20"/>
        </w:rPr>
      </w:pPr>
    </w:p>
    <w:p w14:paraId="28C0E527" w14:textId="77777777" w:rsidR="00104E16" w:rsidRDefault="00104E16" w:rsidP="000D58DB">
      <w:pPr>
        <w:pStyle w:val="ListParagraph"/>
        <w:spacing w:line="276" w:lineRule="auto"/>
        <w:ind w:left="709" w:right="312" w:firstLine="0"/>
        <w:jc w:val="left"/>
        <w:rPr>
          <w:sz w:val="20"/>
          <w:szCs w:val="20"/>
        </w:rPr>
      </w:pPr>
    </w:p>
    <w:p w14:paraId="78EB6ADD" w14:textId="77777777" w:rsidR="00104E16" w:rsidRDefault="00104E16" w:rsidP="000D58DB">
      <w:pPr>
        <w:pStyle w:val="ListParagraph"/>
        <w:spacing w:line="276" w:lineRule="auto"/>
        <w:ind w:left="709" w:right="312" w:firstLine="0"/>
        <w:jc w:val="left"/>
        <w:rPr>
          <w:sz w:val="20"/>
          <w:szCs w:val="20"/>
        </w:rPr>
      </w:pPr>
    </w:p>
    <w:p w14:paraId="2664390F" w14:textId="77777777" w:rsidR="00104E16" w:rsidRDefault="00104E16" w:rsidP="000D58DB">
      <w:pPr>
        <w:pStyle w:val="ListParagraph"/>
        <w:spacing w:line="276" w:lineRule="auto"/>
        <w:ind w:left="709" w:right="312" w:firstLine="0"/>
        <w:jc w:val="left"/>
        <w:rPr>
          <w:sz w:val="20"/>
          <w:szCs w:val="20"/>
        </w:rPr>
      </w:pPr>
    </w:p>
    <w:p w14:paraId="51A07D26" w14:textId="77777777" w:rsidR="00104E16" w:rsidRDefault="00104E16" w:rsidP="000D58DB">
      <w:pPr>
        <w:pStyle w:val="ListParagraph"/>
        <w:spacing w:line="276" w:lineRule="auto"/>
        <w:ind w:left="709" w:right="312" w:firstLine="0"/>
        <w:jc w:val="left"/>
        <w:rPr>
          <w:sz w:val="20"/>
          <w:szCs w:val="20"/>
        </w:rPr>
      </w:pPr>
    </w:p>
    <w:p w14:paraId="07B830A7" w14:textId="77777777" w:rsidR="00104E16" w:rsidRDefault="00104E16" w:rsidP="000D58DB">
      <w:pPr>
        <w:pStyle w:val="ListParagraph"/>
        <w:spacing w:line="276" w:lineRule="auto"/>
        <w:ind w:left="709" w:right="312" w:firstLine="0"/>
        <w:jc w:val="left"/>
        <w:rPr>
          <w:sz w:val="20"/>
          <w:szCs w:val="20"/>
        </w:rPr>
      </w:pPr>
    </w:p>
    <w:p w14:paraId="4523D664" w14:textId="77777777" w:rsidR="00104E16" w:rsidRDefault="00104E16" w:rsidP="000D58DB">
      <w:pPr>
        <w:pStyle w:val="ListParagraph"/>
        <w:spacing w:line="276" w:lineRule="auto"/>
        <w:ind w:left="709" w:right="312" w:firstLine="0"/>
        <w:jc w:val="left"/>
        <w:rPr>
          <w:sz w:val="20"/>
          <w:szCs w:val="20"/>
        </w:rPr>
        <w:sectPr w:rsidR="00104E16" w:rsidSect="00D155CE">
          <w:pgSz w:w="16840" w:h="11910" w:orient="landscape"/>
          <w:pgMar w:top="709" w:right="1340" w:bottom="1120" w:left="993" w:header="0" w:footer="260" w:gutter="0"/>
          <w:cols w:space="720"/>
          <w:docGrid w:linePitch="299"/>
        </w:sectPr>
      </w:pPr>
    </w:p>
    <w:p w14:paraId="21629A97" w14:textId="77777777" w:rsidR="00104E16" w:rsidRDefault="00104E16" w:rsidP="000D58DB">
      <w:pPr>
        <w:pStyle w:val="ListParagraph"/>
        <w:spacing w:line="276" w:lineRule="auto"/>
        <w:ind w:left="709" w:right="312" w:firstLine="0"/>
        <w:jc w:val="left"/>
        <w:rPr>
          <w:sz w:val="20"/>
          <w:szCs w:val="20"/>
        </w:rPr>
      </w:pPr>
    </w:p>
    <w:p w14:paraId="22552512" w14:textId="77777777" w:rsidR="00104E16" w:rsidRDefault="00104E16" w:rsidP="000D58DB">
      <w:pPr>
        <w:pStyle w:val="ListParagraph"/>
        <w:spacing w:line="276" w:lineRule="auto"/>
        <w:ind w:left="709" w:right="312" w:firstLine="0"/>
        <w:jc w:val="left"/>
        <w:rPr>
          <w:sz w:val="20"/>
          <w:szCs w:val="20"/>
        </w:rPr>
      </w:pPr>
    </w:p>
    <w:p w14:paraId="2A276A40" w14:textId="77777777" w:rsidR="00104E16" w:rsidRDefault="00104E16" w:rsidP="000D58DB">
      <w:pPr>
        <w:pStyle w:val="ListParagraph"/>
        <w:spacing w:line="276" w:lineRule="auto"/>
        <w:ind w:left="709" w:right="312" w:firstLine="0"/>
        <w:jc w:val="left"/>
        <w:rPr>
          <w:sz w:val="20"/>
          <w:szCs w:val="20"/>
        </w:rPr>
      </w:pPr>
    </w:p>
    <w:p w14:paraId="64085C28" w14:textId="77777777" w:rsidR="00104E16" w:rsidRDefault="00104E16" w:rsidP="000D58DB">
      <w:pPr>
        <w:pStyle w:val="ListParagraph"/>
        <w:spacing w:line="276" w:lineRule="auto"/>
        <w:ind w:left="709" w:right="312" w:firstLine="0"/>
        <w:jc w:val="left"/>
        <w:rPr>
          <w:sz w:val="20"/>
          <w:szCs w:val="20"/>
        </w:rPr>
      </w:pPr>
    </w:p>
    <w:p w14:paraId="1BB8918F" w14:textId="77777777" w:rsidR="00104E16" w:rsidRDefault="00104E16" w:rsidP="000D58DB">
      <w:pPr>
        <w:pStyle w:val="ListParagraph"/>
        <w:spacing w:line="276" w:lineRule="auto"/>
        <w:ind w:left="709" w:right="312" w:firstLine="0"/>
        <w:jc w:val="left"/>
        <w:rPr>
          <w:sz w:val="20"/>
          <w:szCs w:val="20"/>
        </w:rPr>
      </w:pPr>
    </w:p>
    <w:p w14:paraId="40CF95B2" w14:textId="77777777" w:rsidR="00104E16" w:rsidRDefault="00104E16" w:rsidP="000D58DB">
      <w:pPr>
        <w:pStyle w:val="ListParagraph"/>
        <w:spacing w:line="276" w:lineRule="auto"/>
        <w:ind w:left="709" w:right="312" w:firstLine="0"/>
        <w:jc w:val="left"/>
        <w:rPr>
          <w:sz w:val="20"/>
          <w:szCs w:val="20"/>
        </w:rPr>
      </w:pPr>
    </w:p>
    <w:p w14:paraId="260949C7" w14:textId="77777777" w:rsidR="00104E16" w:rsidRDefault="00104E16" w:rsidP="000D58DB">
      <w:pPr>
        <w:pStyle w:val="ListParagraph"/>
        <w:spacing w:line="276" w:lineRule="auto"/>
        <w:ind w:left="709" w:right="312" w:firstLine="0"/>
        <w:jc w:val="left"/>
        <w:rPr>
          <w:sz w:val="20"/>
          <w:szCs w:val="20"/>
        </w:rPr>
      </w:pPr>
    </w:p>
    <w:p w14:paraId="7BAED506" w14:textId="77777777" w:rsidR="00104E16" w:rsidRDefault="00104E16" w:rsidP="000D58DB">
      <w:pPr>
        <w:pStyle w:val="ListParagraph"/>
        <w:spacing w:line="276" w:lineRule="auto"/>
        <w:ind w:left="709" w:right="312" w:firstLine="0"/>
        <w:jc w:val="left"/>
        <w:rPr>
          <w:sz w:val="20"/>
          <w:szCs w:val="20"/>
        </w:rPr>
      </w:pPr>
    </w:p>
    <w:p w14:paraId="194E124D" w14:textId="77777777" w:rsidR="00104E16" w:rsidRDefault="00104E16" w:rsidP="000D58DB">
      <w:pPr>
        <w:pStyle w:val="ListParagraph"/>
        <w:spacing w:line="276" w:lineRule="auto"/>
        <w:ind w:left="709" w:right="312" w:firstLine="0"/>
        <w:jc w:val="left"/>
        <w:rPr>
          <w:sz w:val="20"/>
          <w:szCs w:val="20"/>
        </w:rPr>
      </w:pPr>
    </w:p>
    <w:p w14:paraId="7C3710F2" w14:textId="77777777" w:rsidR="00104E16" w:rsidRDefault="00104E16" w:rsidP="000D58DB">
      <w:pPr>
        <w:pStyle w:val="ListParagraph"/>
        <w:spacing w:line="276" w:lineRule="auto"/>
        <w:ind w:left="709" w:right="312" w:firstLine="0"/>
        <w:jc w:val="left"/>
        <w:rPr>
          <w:sz w:val="20"/>
          <w:szCs w:val="20"/>
        </w:rPr>
      </w:pPr>
    </w:p>
    <w:p w14:paraId="68B624AE" w14:textId="77777777" w:rsidR="00104E16" w:rsidRDefault="00104E16" w:rsidP="000D58DB">
      <w:pPr>
        <w:pStyle w:val="ListParagraph"/>
        <w:spacing w:line="276" w:lineRule="auto"/>
        <w:ind w:left="709" w:right="312" w:firstLine="0"/>
        <w:jc w:val="left"/>
        <w:rPr>
          <w:sz w:val="20"/>
          <w:szCs w:val="20"/>
        </w:rPr>
      </w:pPr>
    </w:p>
    <w:p w14:paraId="4DC8A0EF" w14:textId="77777777" w:rsidR="00104E16" w:rsidRDefault="00104E16" w:rsidP="000D58DB">
      <w:pPr>
        <w:pStyle w:val="ListParagraph"/>
        <w:spacing w:line="276" w:lineRule="auto"/>
        <w:ind w:left="709" w:right="312" w:firstLine="0"/>
        <w:jc w:val="left"/>
        <w:rPr>
          <w:sz w:val="20"/>
          <w:szCs w:val="20"/>
        </w:rPr>
      </w:pPr>
    </w:p>
    <w:p w14:paraId="45DB0BC0" w14:textId="77777777" w:rsidR="00104E16" w:rsidRDefault="00104E16" w:rsidP="000D58DB">
      <w:pPr>
        <w:pStyle w:val="ListParagraph"/>
        <w:spacing w:line="276" w:lineRule="auto"/>
        <w:ind w:left="709" w:right="312" w:firstLine="0"/>
        <w:jc w:val="left"/>
        <w:rPr>
          <w:sz w:val="20"/>
          <w:szCs w:val="20"/>
        </w:rPr>
      </w:pPr>
    </w:p>
    <w:p w14:paraId="699E138E" w14:textId="77777777" w:rsidR="00104E16" w:rsidRDefault="00104E16" w:rsidP="000D58DB">
      <w:pPr>
        <w:pStyle w:val="ListParagraph"/>
        <w:spacing w:line="276" w:lineRule="auto"/>
        <w:ind w:left="709" w:right="312" w:firstLine="0"/>
        <w:jc w:val="left"/>
        <w:rPr>
          <w:sz w:val="20"/>
          <w:szCs w:val="20"/>
        </w:rPr>
      </w:pPr>
    </w:p>
    <w:p w14:paraId="5816B20A" w14:textId="77777777" w:rsidR="00104E16" w:rsidRDefault="00104E16" w:rsidP="000D58DB">
      <w:pPr>
        <w:pStyle w:val="ListParagraph"/>
        <w:spacing w:line="276" w:lineRule="auto"/>
        <w:ind w:left="709" w:right="312" w:firstLine="0"/>
        <w:jc w:val="left"/>
        <w:rPr>
          <w:sz w:val="20"/>
          <w:szCs w:val="20"/>
        </w:rPr>
      </w:pPr>
    </w:p>
    <w:p w14:paraId="4DDD5B8E" w14:textId="77777777" w:rsidR="00104E16" w:rsidRDefault="00104E16" w:rsidP="000D58DB">
      <w:pPr>
        <w:pStyle w:val="ListParagraph"/>
        <w:spacing w:line="276" w:lineRule="auto"/>
        <w:ind w:left="709" w:right="312" w:firstLine="0"/>
        <w:jc w:val="left"/>
        <w:rPr>
          <w:sz w:val="20"/>
          <w:szCs w:val="20"/>
        </w:rPr>
      </w:pPr>
    </w:p>
    <w:p w14:paraId="7AC39E82" w14:textId="77777777" w:rsidR="00104E16" w:rsidRDefault="00104E16" w:rsidP="000D58DB">
      <w:pPr>
        <w:pStyle w:val="ListParagraph"/>
        <w:spacing w:line="276" w:lineRule="auto"/>
        <w:ind w:left="709" w:right="312" w:firstLine="0"/>
        <w:jc w:val="left"/>
        <w:rPr>
          <w:sz w:val="20"/>
          <w:szCs w:val="20"/>
        </w:rPr>
      </w:pPr>
    </w:p>
    <w:p w14:paraId="796ECA72" w14:textId="77777777" w:rsidR="00104E16" w:rsidRDefault="00104E16" w:rsidP="000D58DB">
      <w:pPr>
        <w:pStyle w:val="ListParagraph"/>
        <w:spacing w:line="276" w:lineRule="auto"/>
        <w:ind w:left="709" w:right="312" w:firstLine="0"/>
        <w:jc w:val="left"/>
        <w:rPr>
          <w:sz w:val="20"/>
          <w:szCs w:val="20"/>
        </w:rPr>
      </w:pPr>
    </w:p>
    <w:p w14:paraId="450C9D0B" w14:textId="77777777" w:rsidR="00104E16" w:rsidRDefault="00104E16" w:rsidP="000D58DB">
      <w:pPr>
        <w:pStyle w:val="ListParagraph"/>
        <w:spacing w:line="276" w:lineRule="auto"/>
        <w:ind w:left="709" w:right="312" w:firstLine="0"/>
        <w:jc w:val="left"/>
        <w:rPr>
          <w:sz w:val="20"/>
          <w:szCs w:val="20"/>
        </w:rPr>
      </w:pPr>
    </w:p>
    <w:p w14:paraId="42BECD06" w14:textId="77777777" w:rsidR="00104E16" w:rsidRDefault="00104E16" w:rsidP="000D58DB">
      <w:pPr>
        <w:pStyle w:val="ListParagraph"/>
        <w:spacing w:line="276" w:lineRule="auto"/>
        <w:ind w:left="709" w:right="312" w:firstLine="0"/>
        <w:jc w:val="left"/>
        <w:rPr>
          <w:sz w:val="20"/>
          <w:szCs w:val="20"/>
        </w:rPr>
      </w:pPr>
    </w:p>
    <w:p w14:paraId="303BB76E" w14:textId="77777777" w:rsidR="00104E16" w:rsidRDefault="00104E16" w:rsidP="000D58DB">
      <w:pPr>
        <w:pStyle w:val="ListParagraph"/>
        <w:spacing w:line="276" w:lineRule="auto"/>
        <w:ind w:left="709" w:right="312" w:firstLine="0"/>
        <w:jc w:val="left"/>
        <w:rPr>
          <w:sz w:val="20"/>
          <w:szCs w:val="20"/>
        </w:rPr>
      </w:pPr>
    </w:p>
    <w:p w14:paraId="4DC83623" w14:textId="77777777" w:rsidR="00104E16" w:rsidRDefault="00104E16" w:rsidP="000D58DB">
      <w:pPr>
        <w:pStyle w:val="ListParagraph"/>
        <w:spacing w:line="276" w:lineRule="auto"/>
        <w:ind w:left="709" w:right="312" w:firstLine="0"/>
        <w:jc w:val="left"/>
        <w:rPr>
          <w:sz w:val="20"/>
          <w:szCs w:val="20"/>
        </w:rPr>
      </w:pPr>
    </w:p>
    <w:p w14:paraId="4A610DC3" w14:textId="77777777" w:rsidR="00104E16" w:rsidRDefault="00104E16" w:rsidP="000D58DB">
      <w:pPr>
        <w:pStyle w:val="ListParagraph"/>
        <w:spacing w:line="276" w:lineRule="auto"/>
        <w:ind w:left="709" w:right="312" w:firstLine="0"/>
        <w:jc w:val="left"/>
        <w:rPr>
          <w:sz w:val="20"/>
          <w:szCs w:val="20"/>
        </w:rPr>
      </w:pPr>
    </w:p>
    <w:p w14:paraId="76103917" w14:textId="77777777" w:rsidR="00104E16" w:rsidRDefault="00104E16" w:rsidP="000D58DB">
      <w:pPr>
        <w:pStyle w:val="ListParagraph"/>
        <w:spacing w:line="276" w:lineRule="auto"/>
        <w:ind w:left="709" w:right="312" w:firstLine="0"/>
        <w:jc w:val="left"/>
        <w:rPr>
          <w:sz w:val="20"/>
          <w:szCs w:val="20"/>
        </w:rPr>
      </w:pPr>
    </w:p>
    <w:p w14:paraId="1294C4D3" w14:textId="77777777" w:rsidR="00104E16" w:rsidRDefault="00104E16" w:rsidP="000D58DB">
      <w:pPr>
        <w:pStyle w:val="ListParagraph"/>
        <w:spacing w:line="276" w:lineRule="auto"/>
        <w:ind w:left="709" w:right="312" w:firstLine="0"/>
        <w:jc w:val="left"/>
        <w:rPr>
          <w:sz w:val="20"/>
          <w:szCs w:val="20"/>
        </w:rPr>
      </w:pPr>
    </w:p>
    <w:p w14:paraId="3518DA53" w14:textId="77777777" w:rsidR="00104E16" w:rsidRDefault="00104E16" w:rsidP="000D58DB">
      <w:pPr>
        <w:pStyle w:val="ListParagraph"/>
        <w:spacing w:line="276" w:lineRule="auto"/>
        <w:ind w:left="709" w:right="312" w:firstLine="0"/>
        <w:jc w:val="left"/>
        <w:rPr>
          <w:sz w:val="20"/>
          <w:szCs w:val="20"/>
        </w:rPr>
      </w:pPr>
    </w:p>
    <w:p w14:paraId="64C18487" w14:textId="77777777" w:rsidR="00104E16" w:rsidRDefault="00104E16" w:rsidP="000D58DB">
      <w:pPr>
        <w:pStyle w:val="ListParagraph"/>
        <w:spacing w:line="276" w:lineRule="auto"/>
        <w:ind w:left="709" w:right="312" w:firstLine="0"/>
        <w:jc w:val="left"/>
        <w:rPr>
          <w:sz w:val="20"/>
          <w:szCs w:val="20"/>
        </w:rPr>
      </w:pPr>
    </w:p>
    <w:p w14:paraId="59722B07" w14:textId="77777777" w:rsidR="00104E16" w:rsidRDefault="00104E16" w:rsidP="000D58DB">
      <w:pPr>
        <w:pStyle w:val="ListParagraph"/>
        <w:spacing w:line="276" w:lineRule="auto"/>
        <w:ind w:left="709" w:right="312" w:firstLine="0"/>
        <w:jc w:val="left"/>
        <w:rPr>
          <w:sz w:val="20"/>
          <w:szCs w:val="20"/>
        </w:rPr>
      </w:pPr>
    </w:p>
    <w:p w14:paraId="17A65E2D" w14:textId="77777777" w:rsidR="00104E16" w:rsidRDefault="00104E16" w:rsidP="000D58DB">
      <w:pPr>
        <w:pStyle w:val="ListParagraph"/>
        <w:spacing w:line="276" w:lineRule="auto"/>
        <w:ind w:left="709" w:right="312" w:firstLine="0"/>
        <w:jc w:val="left"/>
        <w:rPr>
          <w:sz w:val="20"/>
          <w:szCs w:val="20"/>
        </w:rPr>
      </w:pPr>
    </w:p>
    <w:p w14:paraId="5A4A93DC" w14:textId="77777777" w:rsidR="00104E16" w:rsidRDefault="00104E16" w:rsidP="000D58DB">
      <w:pPr>
        <w:pStyle w:val="ListParagraph"/>
        <w:spacing w:line="276" w:lineRule="auto"/>
        <w:ind w:left="709" w:right="312" w:firstLine="0"/>
        <w:jc w:val="left"/>
        <w:rPr>
          <w:sz w:val="20"/>
          <w:szCs w:val="20"/>
        </w:rPr>
      </w:pPr>
    </w:p>
    <w:p w14:paraId="685C5D56" w14:textId="77777777" w:rsidR="00104E16" w:rsidRDefault="00104E16" w:rsidP="000D58DB">
      <w:pPr>
        <w:pStyle w:val="ListParagraph"/>
        <w:spacing w:line="276" w:lineRule="auto"/>
        <w:ind w:left="709" w:right="312" w:firstLine="0"/>
        <w:jc w:val="left"/>
        <w:rPr>
          <w:sz w:val="20"/>
          <w:szCs w:val="20"/>
        </w:rPr>
      </w:pPr>
    </w:p>
    <w:p w14:paraId="4DA4F743" w14:textId="77777777" w:rsidR="00104E16" w:rsidRDefault="00104E16" w:rsidP="000D58DB">
      <w:pPr>
        <w:pStyle w:val="ListParagraph"/>
        <w:spacing w:line="276" w:lineRule="auto"/>
        <w:ind w:left="709" w:right="312" w:firstLine="0"/>
        <w:jc w:val="left"/>
        <w:rPr>
          <w:sz w:val="20"/>
          <w:szCs w:val="20"/>
        </w:rPr>
      </w:pPr>
    </w:p>
    <w:p w14:paraId="60A7CA32" w14:textId="77777777" w:rsidR="00104E16" w:rsidRDefault="00104E16" w:rsidP="000D58DB">
      <w:pPr>
        <w:pStyle w:val="ListParagraph"/>
        <w:spacing w:line="276" w:lineRule="auto"/>
        <w:ind w:left="709" w:right="312" w:firstLine="0"/>
        <w:jc w:val="left"/>
        <w:rPr>
          <w:sz w:val="20"/>
          <w:szCs w:val="20"/>
        </w:rPr>
      </w:pPr>
    </w:p>
    <w:p w14:paraId="701B8D23" w14:textId="77777777" w:rsidR="00104E16" w:rsidRDefault="00104E16" w:rsidP="000D58DB">
      <w:pPr>
        <w:pStyle w:val="ListParagraph"/>
        <w:spacing w:line="276" w:lineRule="auto"/>
        <w:ind w:left="709" w:right="312" w:firstLine="0"/>
        <w:jc w:val="left"/>
        <w:rPr>
          <w:sz w:val="20"/>
          <w:szCs w:val="20"/>
        </w:rPr>
      </w:pPr>
    </w:p>
    <w:p w14:paraId="30405585" w14:textId="77777777" w:rsidR="00104E16" w:rsidRDefault="00104E16" w:rsidP="000D58DB">
      <w:pPr>
        <w:pStyle w:val="ListParagraph"/>
        <w:spacing w:line="276" w:lineRule="auto"/>
        <w:ind w:left="709" w:right="312" w:firstLine="0"/>
        <w:jc w:val="left"/>
        <w:rPr>
          <w:sz w:val="20"/>
          <w:szCs w:val="20"/>
        </w:rPr>
      </w:pPr>
    </w:p>
    <w:p w14:paraId="1DF28319" w14:textId="77777777" w:rsidR="00104E16" w:rsidRDefault="00104E16" w:rsidP="000D58DB">
      <w:pPr>
        <w:pStyle w:val="ListParagraph"/>
        <w:spacing w:line="276" w:lineRule="auto"/>
        <w:ind w:left="709" w:right="312" w:firstLine="0"/>
        <w:jc w:val="left"/>
        <w:rPr>
          <w:sz w:val="20"/>
          <w:szCs w:val="20"/>
        </w:rPr>
      </w:pPr>
    </w:p>
    <w:p w14:paraId="1536E620" w14:textId="77777777" w:rsidR="00104E16" w:rsidRDefault="00104E16" w:rsidP="000D58DB">
      <w:pPr>
        <w:pStyle w:val="ListParagraph"/>
        <w:spacing w:line="276" w:lineRule="auto"/>
        <w:ind w:left="709" w:right="312" w:firstLine="0"/>
        <w:jc w:val="left"/>
        <w:rPr>
          <w:sz w:val="20"/>
          <w:szCs w:val="20"/>
        </w:rPr>
      </w:pPr>
    </w:p>
    <w:p w14:paraId="53FD66CE" w14:textId="77777777" w:rsidR="00104E16" w:rsidRDefault="00104E16" w:rsidP="000D58DB">
      <w:pPr>
        <w:pStyle w:val="ListParagraph"/>
        <w:spacing w:line="276" w:lineRule="auto"/>
        <w:ind w:left="709" w:right="312" w:firstLine="0"/>
        <w:jc w:val="left"/>
        <w:rPr>
          <w:sz w:val="20"/>
          <w:szCs w:val="20"/>
        </w:rPr>
      </w:pPr>
    </w:p>
    <w:p w14:paraId="308E51ED" w14:textId="77777777" w:rsidR="00104E16" w:rsidRDefault="00104E16" w:rsidP="000D58DB">
      <w:pPr>
        <w:pStyle w:val="ListParagraph"/>
        <w:spacing w:line="276" w:lineRule="auto"/>
        <w:ind w:left="709" w:right="312" w:firstLine="0"/>
        <w:jc w:val="left"/>
        <w:rPr>
          <w:sz w:val="20"/>
          <w:szCs w:val="20"/>
        </w:rPr>
      </w:pPr>
    </w:p>
    <w:p w14:paraId="3691F069" w14:textId="77777777" w:rsidR="00104E16" w:rsidRDefault="00104E16" w:rsidP="000D58DB">
      <w:pPr>
        <w:pStyle w:val="ListParagraph"/>
        <w:spacing w:line="276" w:lineRule="auto"/>
        <w:ind w:left="709" w:right="312" w:firstLine="0"/>
        <w:jc w:val="left"/>
        <w:rPr>
          <w:sz w:val="20"/>
          <w:szCs w:val="20"/>
        </w:rPr>
      </w:pPr>
    </w:p>
    <w:p w14:paraId="5681485C" w14:textId="77777777" w:rsidR="00104E16" w:rsidRDefault="00104E16" w:rsidP="000D58DB">
      <w:pPr>
        <w:pStyle w:val="ListParagraph"/>
        <w:spacing w:line="276" w:lineRule="auto"/>
        <w:ind w:left="709" w:right="312" w:firstLine="0"/>
        <w:jc w:val="left"/>
        <w:rPr>
          <w:sz w:val="20"/>
          <w:szCs w:val="20"/>
        </w:rPr>
      </w:pPr>
    </w:p>
    <w:p w14:paraId="7F9F43FD" w14:textId="77777777" w:rsidR="00104E16" w:rsidRDefault="00104E16" w:rsidP="000D58DB">
      <w:pPr>
        <w:pStyle w:val="ListParagraph"/>
        <w:spacing w:line="276" w:lineRule="auto"/>
        <w:ind w:left="709" w:right="312" w:firstLine="0"/>
        <w:jc w:val="left"/>
        <w:rPr>
          <w:sz w:val="20"/>
          <w:szCs w:val="20"/>
        </w:rPr>
      </w:pPr>
    </w:p>
    <w:p w14:paraId="500B5013" w14:textId="77777777" w:rsidR="00104E16" w:rsidRDefault="00104E16" w:rsidP="000D58DB">
      <w:pPr>
        <w:pStyle w:val="ListParagraph"/>
        <w:spacing w:line="276" w:lineRule="auto"/>
        <w:ind w:left="709" w:right="312" w:firstLine="0"/>
        <w:jc w:val="left"/>
        <w:rPr>
          <w:sz w:val="20"/>
          <w:szCs w:val="20"/>
        </w:rPr>
      </w:pPr>
    </w:p>
    <w:p w14:paraId="496EB29E" w14:textId="77777777" w:rsidR="00104E16" w:rsidRDefault="00104E16" w:rsidP="000D58DB">
      <w:pPr>
        <w:pStyle w:val="ListParagraph"/>
        <w:spacing w:line="276" w:lineRule="auto"/>
        <w:ind w:left="709" w:right="312" w:firstLine="0"/>
        <w:jc w:val="left"/>
        <w:rPr>
          <w:sz w:val="20"/>
          <w:szCs w:val="20"/>
        </w:rPr>
      </w:pPr>
    </w:p>
    <w:p w14:paraId="334120D4" w14:textId="77777777" w:rsidR="00104E16" w:rsidRDefault="00104E16" w:rsidP="000D58DB">
      <w:pPr>
        <w:pStyle w:val="ListParagraph"/>
        <w:spacing w:line="276" w:lineRule="auto"/>
        <w:ind w:left="709" w:right="312" w:firstLine="0"/>
        <w:jc w:val="left"/>
        <w:rPr>
          <w:sz w:val="20"/>
          <w:szCs w:val="20"/>
        </w:rPr>
      </w:pPr>
    </w:p>
    <w:p w14:paraId="4CB5E7F0" w14:textId="77777777" w:rsidR="00104E16" w:rsidRDefault="00104E16" w:rsidP="000D58DB">
      <w:pPr>
        <w:pStyle w:val="ListParagraph"/>
        <w:spacing w:line="276" w:lineRule="auto"/>
        <w:ind w:left="709" w:right="312" w:firstLine="0"/>
        <w:jc w:val="left"/>
        <w:rPr>
          <w:sz w:val="20"/>
          <w:szCs w:val="20"/>
        </w:rPr>
      </w:pPr>
    </w:p>
    <w:p w14:paraId="19AEAFE8" w14:textId="5D9F2654" w:rsidR="00104E16" w:rsidRPr="00532112" w:rsidRDefault="00104E16" w:rsidP="00104E16">
      <w:pPr>
        <w:pStyle w:val="ListParagraph"/>
        <w:spacing w:line="276" w:lineRule="auto"/>
        <w:ind w:left="709" w:right="312" w:firstLine="0"/>
        <w:jc w:val="center"/>
        <w:rPr>
          <w:sz w:val="20"/>
          <w:szCs w:val="20"/>
        </w:rPr>
      </w:pPr>
      <w:r w:rsidRPr="005F4AB5">
        <w:rPr>
          <w:b/>
          <w:noProof/>
        </w:rPr>
        <w:drawing>
          <wp:inline distT="0" distB="0" distL="0" distR="0" wp14:anchorId="3D8E568F" wp14:editId="09CD1C6A">
            <wp:extent cx="1655618" cy="653221"/>
            <wp:effectExtent l="0" t="0" r="1905" b="0"/>
            <wp:docPr id="913562595" name="Picture 91356259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1576" cy="679245"/>
                    </a:xfrm>
                    <a:prstGeom prst="rect">
                      <a:avLst/>
                    </a:prstGeom>
                  </pic:spPr>
                </pic:pic>
              </a:graphicData>
            </a:graphic>
          </wp:inline>
        </w:drawing>
      </w:r>
    </w:p>
    <w:sectPr w:rsidR="00104E16" w:rsidRPr="00532112" w:rsidSect="00104E16">
      <w:pgSz w:w="11910" w:h="16840"/>
      <w:pgMar w:top="1340" w:right="1120" w:bottom="993" w:left="709" w:header="0" w:footer="2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2A76D" w14:textId="77777777" w:rsidR="005E2914" w:rsidRDefault="005E2914">
      <w:r>
        <w:separator/>
      </w:r>
    </w:p>
  </w:endnote>
  <w:endnote w:type="continuationSeparator" w:id="0">
    <w:p w14:paraId="1B06B474" w14:textId="77777777" w:rsidR="005E2914" w:rsidRDefault="005E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M Sans">
    <w:altName w:val="DM Sans"/>
    <w:charset w:val="00"/>
    <w:family w:val="auto"/>
    <w:pitch w:val="variable"/>
    <w:sig w:usb0="8000002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DB47" w14:textId="77777777" w:rsidR="009775D2" w:rsidRDefault="009775D2">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C0E0" w14:textId="2000F744" w:rsidR="000D6C9F" w:rsidRDefault="00135B66">
    <w:pPr>
      <w:pStyle w:val="Footer"/>
      <w:jc w:val="center"/>
    </w:pPr>
    <w:r>
      <w:tab/>
    </w:r>
    <w:r>
      <w:tab/>
    </w:r>
    <w:r w:rsidR="00495F2A">
      <w:tab/>
    </w:r>
    <w:r w:rsidR="00495F2A">
      <w:tab/>
    </w:r>
    <w:r w:rsidR="00495F2A">
      <w:tab/>
    </w:r>
    <w:r w:rsidR="00495F2A">
      <w:tab/>
    </w:r>
    <w:r w:rsidR="00495F2A">
      <w:tab/>
    </w:r>
    <w:r w:rsidR="00495F2A">
      <w:tab/>
    </w:r>
  </w:p>
  <w:p w14:paraId="7D601F74" w14:textId="77777777" w:rsidR="009775D2" w:rsidRDefault="009775D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004A0" w14:textId="77777777" w:rsidR="005E2914" w:rsidRDefault="005E2914">
      <w:r>
        <w:separator/>
      </w:r>
    </w:p>
  </w:footnote>
  <w:footnote w:type="continuationSeparator" w:id="0">
    <w:p w14:paraId="6A5C5497" w14:textId="77777777" w:rsidR="005E2914" w:rsidRDefault="005E2914">
      <w:r>
        <w:continuationSeparator/>
      </w:r>
    </w:p>
  </w:footnote>
  <w:footnote w:id="1">
    <w:p w14:paraId="5912DDB8" w14:textId="3FF0462A" w:rsidR="00AB08E1" w:rsidRPr="009E4CF0" w:rsidRDefault="00AB08E1" w:rsidP="00CF006B">
      <w:pPr>
        <w:pStyle w:val="FootnoteText"/>
        <w:spacing w:after="120"/>
        <w:rPr>
          <w:lang w:val="en-GB"/>
        </w:rPr>
      </w:pPr>
      <w:r w:rsidRPr="009E4CF0">
        <w:rPr>
          <w:rStyle w:val="FootnoteReference"/>
        </w:rPr>
        <w:footnoteRef/>
      </w:r>
      <w:r w:rsidRPr="009E4CF0">
        <w:t xml:space="preserve"> </w:t>
      </w:r>
      <w:bookmarkStart w:id="29" w:name="_Hlk176152377"/>
      <w:r w:rsidRPr="00F20D52">
        <w:t>In December 2022, the Standard Method of calculating Housing Need came into effect so it is the Local Housing Need figure that has been used to calculate the delivery against requirements figure.</w:t>
      </w:r>
      <w:r w:rsidRPr="009E4CF0">
        <w:t xml:space="preserve"> </w:t>
      </w:r>
      <w:r w:rsidRPr="009E4CF0">
        <w:rPr>
          <w:rFonts w:ascii="Arial MT" w:eastAsia="Times New Roman" w:hAnsi="Arial MT" w:cs="Segoe UI"/>
          <w:lang w:val="en-GB" w:eastAsia="en-GB"/>
        </w:rPr>
        <w:t> </w:t>
      </w:r>
      <w:bookmarkEnd w:id="29"/>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45E"/>
    <w:multiLevelType w:val="hybridMultilevel"/>
    <w:tmpl w:val="60EE1FDE"/>
    <w:lvl w:ilvl="0" w:tplc="0C20622A">
      <w:start w:val="12"/>
      <w:numFmt w:val="decimal"/>
      <w:lvlText w:val="%1."/>
      <w:lvlJc w:val="left"/>
      <w:pPr>
        <w:ind w:left="1039" w:hanging="361"/>
      </w:pPr>
      <w:rPr>
        <w:rFonts w:ascii="Calibri" w:eastAsia="Calibri" w:hAnsi="Calibri" w:cs="Calibri" w:hint="default"/>
        <w:w w:val="100"/>
        <w:sz w:val="22"/>
        <w:szCs w:val="22"/>
        <w:lang w:val="en-US" w:eastAsia="en-US" w:bidi="ar-SA"/>
      </w:rPr>
    </w:lvl>
    <w:lvl w:ilvl="1" w:tplc="6E0E7FA8">
      <w:numFmt w:val="bullet"/>
      <w:lvlText w:val="•"/>
      <w:lvlJc w:val="left"/>
      <w:pPr>
        <w:ind w:left="1902" w:hanging="361"/>
      </w:pPr>
      <w:rPr>
        <w:rFonts w:hint="default"/>
        <w:lang w:val="en-US" w:eastAsia="en-US" w:bidi="ar-SA"/>
      </w:rPr>
    </w:lvl>
    <w:lvl w:ilvl="2" w:tplc="DD5CB5F6">
      <w:numFmt w:val="bullet"/>
      <w:lvlText w:val="•"/>
      <w:lvlJc w:val="left"/>
      <w:pPr>
        <w:ind w:left="2765" w:hanging="361"/>
      </w:pPr>
      <w:rPr>
        <w:rFonts w:hint="default"/>
        <w:lang w:val="en-US" w:eastAsia="en-US" w:bidi="ar-SA"/>
      </w:rPr>
    </w:lvl>
    <w:lvl w:ilvl="3" w:tplc="5410630C">
      <w:numFmt w:val="bullet"/>
      <w:lvlText w:val="•"/>
      <w:lvlJc w:val="left"/>
      <w:pPr>
        <w:ind w:left="3627" w:hanging="361"/>
      </w:pPr>
      <w:rPr>
        <w:rFonts w:hint="default"/>
        <w:lang w:val="en-US" w:eastAsia="en-US" w:bidi="ar-SA"/>
      </w:rPr>
    </w:lvl>
    <w:lvl w:ilvl="4" w:tplc="51768DD6">
      <w:numFmt w:val="bullet"/>
      <w:lvlText w:val="•"/>
      <w:lvlJc w:val="left"/>
      <w:pPr>
        <w:ind w:left="4490" w:hanging="361"/>
      </w:pPr>
      <w:rPr>
        <w:rFonts w:hint="default"/>
        <w:lang w:val="en-US" w:eastAsia="en-US" w:bidi="ar-SA"/>
      </w:rPr>
    </w:lvl>
    <w:lvl w:ilvl="5" w:tplc="EC9CB38A">
      <w:numFmt w:val="bullet"/>
      <w:lvlText w:val="•"/>
      <w:lvlJc w:val="left"/>
      <w:pPr>
        <w:ind w:left="5353" w:hanging="361"/>
      </w:pPr>
      <w:rPr>
        <w:rFonts w:hint="default"/>
        <w:lang w:val="en-US" w:eastAsia="en-US" w:bidi="ar-SA"/>
      </w:rPr>
    </w:lvl>
    <w:lvl w:ilvl="6" w:tplc="62A6F376">
      <w:numFmt w:val="bullet"/>
      <w:lvlText w:val="•"/>
      <w:lvlJc w:val="left"/>
      <w:pPr>
        <w:ind w:left="6215" w:hanging="361"/>
      </w:pPr>
      <w:rPr>
        <w:rFonts w:hint="default"/>
        <w:lang w:val="en-US" w:eastAsia="en-US" w:bidi="ar-SA"/>
      </w:rPr>
    </w:lvl>
    <w:lvl w:ilvl="7" w:tplc="8D16FB2C">
      <w:numFmt w:val="bullet"/>
      <w:lvlText w:val="•"/>
      <w:lvlJc w:val="left"/>
      <w:pPr>
        <w:ind w:left="7078" w:hanging="361"/>
      </w:pPr>
      <w:rPr>
        <w:rFonts w:hint="default"/>
        <w:lang w:val="en-US" w:eastAsia="en-US" w:bidi="ar-SA"/>
      </w:rPr>
    </w:lvl>
    <w:lvl w:ilvl="8" w:tplc="4F780314">
      <w:numFmt w:val="bullet"/>
      <w:lvlText w:val="•"/>
      <w:lvlJc w:val="left"/>
      <w:pPr>
        <w:ind w:left="7941" w:hanging="361"/>
      </w:pPr>
      <w:rPr>
        <w:rFonts w:hint="default"/>
        <w:lang w:val="en-US" w:eastAsia="en-US" w:bidi="ar-SA"/>
      </w:rPr>
    </w:lvl>
  </w:abstractNum>
  <w:abstractNum w:abstractNumId="1" w15:restartNumberingAfterBreak="0">
    <w:nsid w:val="0C8045D5"/>
    <w:multiLevelType w:val="multilevel"/>
    <w:tmpl w:val="2322514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i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F3C1665"/>
    <w:multiLevelType w:val="multilevel"/>
    <w:tmpl w:val="20803868"/>
    <w:lvl w:ilvl="0">
      <w:start w:val="1"/>
      <w:numFmt w:val="decimal"/>
      <w:pStyle w:val="Heading2"/>
      <w:lvlText w:val="%1."/>
      <w:lvlJc w:val="left"/>
      <w:pPr>
        <w:ind w:left="720" w:hanging="360"/>
      </w:pPr>
      <w:rPr>
        <w:b/>
      </w:rPr>
    </w:lvl>
    <w:lvl w:ilvl="1">
      <w:start w:val="1"/>
      <w:numFmt w:val="decimal"/>
      <w:isLgl/>
      <w:lvlText w:val="%1.%2"/>
      <w:lvlJc w:val="left"/>
      <w:pPr>
        <w:ind w:left="643" w:hanging="360"/>
      </w:pPr>
      <w:rPr>
        <w:rFonts w:hint="default"/>
        <w:b w:val="0"/>
        <w:i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3" w15:restartNumberingAfterBreak="0">
    <w:nsid w:val="10E96518"/>
    <w:multiLevelType w:val="multilevel"/>
    <w:tmpl w:val="2D78C390"/>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4" w15:restartNumberingAfterBreak="0">
    <w:nsid w:val="160D33F2"/>
    <w:multiLevelType w:val="hybridMultilevel"/>
    <w:tmpl w:val="1794D3FA"/>
    <w:lvl w:ilvl="0" w:tplc="C32C291A">
      <w:start w:val="1"/>
      <w:numFmt w:val="decimal"/>
      <w:lvlText w:val="%1."/>
      <w:lvlJc w:val="left"/>
      <w:pPr>
        <w:ind w:left="612" w:hanging="293"/>
      </w:pPr>
      <w:rPr>
        <w:rFonts w:ascii="Cambria" w:eastAsia="Cambria" w:hAnsi="Cambria" w:cs="Cambria" w:hint="default"/>
        <w:b/>
        <w:bCs/>
        <w:color w:val="365F91"/>
        <w:spacing w:val="-1"/>
        <w:w w:val="100"/>
        <w:sz w:val="28"/>
        <w:szCs w:val="28"/>
        <w:lang w:val="en-US" w:eastAsia="en-US" w:bidi="ar-SA"/>
      </w:rPr>
    </w:lvl>
    <w:lvl w:ilvl="1" w:tplc="1B001086">
      <w:start w:val="1"/>
      <w:numFmt w:val="decimal"/>
      <w:lvlText w:val="%2."/>
      <w:lvlJc w:val="left"/>
      <w:pPr>
        <w:ind w:left="1039" w:hanging="361"/>
      </w:pPr>
      <w:rPr>
        <w:rFonts w:ascii="Calibri" w:eastAsia="Calibri" w:hAnsi="Calibri" w:cs="Calibri" w:hint="default"/>
        <w:w w:val="100"/>
        <w:sz w:val="22"/>
        <w:szCs w:val="22"/>
        <w:lang w:val="en-US" w:eastAsia="en-US" w:bidi="ar-SA"/>
      </w:rPr>
    </w:lvl>
    <w:lvl w:ilvl="2" w:tplc="5524ADA6">
      <w:numFmt w:val="bullet"/>
      <w:lvlText w:val=""/>
      <w:lvlJc w:val="left"/>
      <w:pPr>
        <w:ind w:left="1866" w:hanging="361"/>
      </w:pPr>
      <w:rPr>
        <w:rFonts w:ascii="Symbol" w:eastAsia="Symbol" w:hAnsi="Symbol" w:cs="Symbol" w:hint="default"/>
        <w:w w:val="100"/>
        <w:sz w:val="22"/>
        <w:szCs w:val="22"/>
        <w:lang w:val="en-US" w:eastAsia="en-US" w:bidi="ar-SA"/>
      </w:rPr>
    </w:lvl>
    <w:lvl w:ilvl="3" w:tplc="245673E8">
      <w:numFmt w:val="bullet"/>
      <w:lvlText w:val="•"/>
      <w:lvlJc w:val="left"/>
      <w:pPr>
        <w:ind w:left="1860" w:hanging="361"/>
      </w:pPr>
      <w:rPr>
        <w:rFonts w:hint="default"/>
        <w:lang w:val="en-US" w:eastAsia="en-US" w:bidi="ar-SA"/>
      </w:rPr>
    </w:lvl>
    <w:lvl w:ilvl="4" w:tplc="EA34899C">
      <w:numFmt w:val="bullet"/>
      <w:lvlText w:val="•"/>
      <w:lvlJc w:val="left"/>
      <w:pPr>
        <w:ind w:left="2975" w:hanging="361"/>
      </w:pPr>
      <w:rPr>
        <w:rFonts w:hint="default"/>
        <w:lang w:val="en-US" w:eastAsia="en-US" w:bidi="ar-SA"/>
      </w:rPr>
    </w:lvl>
    <w:lvl w:ilvl="5" w:tplc="B2C48E62">
      <w:numFmt w:val="bullet"/>
      <w:lvlText w:val="•"/>
      <w:lvlJc w:val="left"/>
      <w:pPr>
        <w:ind w:left="4090" w:hanging="361"/>
      </w:pPr>
      <w:rPr>
        <w:rFonts w:hint="default"/>
        <w:lang w:val="en-US" w:eastAsia="en-US" w:bidi="ar-SA"/>
      </w:rPr>
    </w:lvl>
    <w:lvl w:ilvl="6" w:tplc="E542D820">
      <w:numFmt w:val="bullet"/>
      <w:lvlText w:val="•"/>
      <w:lvlJc w:val="left"/>
      <w:pPr>
        <w:ind w:left="5205" w:hanging="361"/>
      </w:pPr>
      <w:rPr>
        <w:rFonts w:hint="default"/>
        <w:lang w:val="en-US" w:eastAsia="en-US" w:bidi="ar-SA"/>
      </w:rPr>
    </w:lvl>
    <w:lvl w:ilvl="7" w:tplc="014C0F28">
      <w:numFmt w:val="bullet"/>
      <w:lvlText w:val="•"/>
      <w:lvlJc w:val="left"/>
      <w:pPr>
        <w:ind w:left="6320" w:hanging="361"/>
      </w:pPr>
      <w:rPr>
        <w:rFonts w:hint="default"/>
        <w:lang w:val="en-US" w:eastAsia="en-US" w:bidi="ar-SA"/>
      </w:rPr>
    </w:lvl>
    <w:lvl w:ilvl="8" w:tplc="EA1A6896">
      <w:numFmt w:val="bullet"/>
      <w:lvlText w:val="•"/>
      <w:lvlJc w:val="left"/>
      <w:pPr>
        <w:ind w:left="7436" w:hanging="361"/>
      </w:pPr>
      <w:rPr>
        <w:rFonts w:hint="default"/>
        <w:lang w:val="en-US" w:eastAsia="en-US" w:bidi="ar-SA"/>
      </w:rPr>
    </w:lvl>
  </w:abstractNum>
  <w:abstractNum w:abstractNumId="5" w15:restartNumberingAfterBreak="0">
    <w:nsid w:val="1B344191"/>
    <w:multiLevelType w:val="hybridMultilevel"/>
    <w:tmpl w:val="455C5758"/>
    <w:lvl w:ilvl="0" w:tplc="9790FA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B8628D8"/>
    <w:multiLevelType w:val="multilevel"/>
    <w:tmpl w:val="460825B0"/>
    <w:lvl w:ilvl="0">
      <w:start w:val="1"/>
      <w:numFmt w:val="decimal"/>
      <w:lvlText w:val="%1."/>
      <w:lvlJc w:val="left"/>
      <w:pPr>
        <w:ind w:left="619" w:hanging="360"/>
      </w:pPr>
      <w:rPr>
        <w:rFonts w:ascii="Arial" w:eastAsia="Arial" w:hAnsi="Arial" w:cs="Arial" w:hint="default"/>
        <w:b/>
        <w:bCs/>
        <w:spacing w:val="-2"/>
        <w:w w:val="100"/>
        <w:sz w:val="22"/>
        <w:szCs w:val="22"/>
        <w:lang w:val="en-US" w:eastAsia="en-US" w:bidi="ar-SA"/>
      </w:rPr>
    </w:lvl>
    <w:lvl w:ilvl="1">
      <w:start w:val="1"/>
      <w:numFmt w:val="decimal"/>
      <w:lvlText w:val="%1.%2."/>
      <w:lvlJc w:val="left"/>
      <w:pPr>
        <w:ind w:left="687" w:hanging="570"/>
      </w:pPr>
      <w:rPr>
        <w:rFonts w:ascii="Arial MT" w:eastAsia="Arial MT" w:hAnsi="Arial MT" w:cs="Arial MT" w:hint="default"/>
        <w:spacing w:val="-2"/>
        <w:w w:val="100"/>
        <w:sz w:val="22"/>
        <w:szCs w:val="22"/>
        <w:lang w:val="en-US" w:eastAsia="en-US" w:bidi="ar-SA"/>
      </w:rPr>
    </w:lvl>
    <w:lvl w:ilvl="2">
      <w:numFmt w:val="bullet"/>
      <w:lvlText w:val=""/>
      <w:lvlJc w:val="left"/>
      <w:pPr>
        <w:ind w:left="1484" w:hanging="505"/>
      </w:pPr>
      <w:rPr>
        <w:rFonts w:ascii="Symbol" w:eastAsia="Symbol" w:hAnsi="Symbol" w:cs="Symbol" w:hint="default"/>
        <w:w w:val="100"/>
        <w:sz w:val="22"/>
        <w:szCs w:val="22"/>
        <w:lang w:val="en-US" w:eastAsia="en-US" w:bidi="ar-SA"/>
      </w:rPr>
    </w:lvl>
    <w:lvl w:ilvl="3">
      <w:numFmt w:val="bullet"/>
      <w:lvlText w:val="•"/>
      <w:lvlJc w:val="left"/>
      <w:pPr>
        <w:ind w:left="2470" w:hanging="505"/>
      </w:pPr>
      <w:rPr>
        <w:rFonts w:hint="default"/>
        <w:lang w:val="en-US" w:eastAsia="en-US" w:bidi="ar-SA"/>
      </w:rPr>
    </w:lvl>
    <w:lvl w:ilvl="4">
      <w:numFmt w:val="bullet"/>
      <w:lvlText w:val="•"/>
      <w:lvlJc w:val="left"/>
      <w:pPr>
        <w:ind w:left="3461" w:hanging="505"/>
      </w:pPr>
      <w:rPr>
        <w:rFonts w:hint="default"/>
        <w:lang w:val="en-US" w:eastAsia="en-US" w:bidi="ar-SA"/>
      </w:rPr>
    </w:lvl>
    <w:lvl w:ilvl="5">
      <w:numFmt w:val="bullet"/>
      <w:lvlText w:val="•"/>
      <w:lvlJc w:val="left"/>
      <w:pPr>
        <w:ind w:left="4452" w:hanging="505"/>
      </w:pPr>
      <w:rPr>
        <w:rFonts w:hint="default"/>
        <w:lang w:val="en-US" w:eastAsia="en-US" w:bidi="ar-SA"/>
      </w:rPr>
    </w:lvl>
    <w:lvl w:ilvl="6">
      <w:numFmt w:val="bullet"/>
      <w:lvlText w:val="•"/>
      <w:lvlJc w:val="left"/>
      <w:pPr>
        <w:ind w:left="5443" w:hanging="505"/>
      </w:pPr>
      <w:rPr>
        <w:rFonts w:hint="default"/>
        <w:lang w:val="en-US" w:eastAsia="en-US" w:bidi="ar-SA"/>
      </w:rPr>
    </w:lvl>
    <w:lvl w:ilvl="7">
      <w:numFmt w:val="bullet"/>
      <w:lvlText w:val="•"/>
      <w:lvlJc w:val="left"/>
      <w:pPr>
        <w:ind w:left="6434" w:hanging="505"/>
      </w:pPr>
      <w:rPr>
        <w:rFonts w:hint="default"/>
        <w:lang w:val="en-US" w:eastAsia="en-US" w:bidi="ar-SA"/>
      </w:rPr>
    </w:lvl>
    <w:lvl w:ilvl="8">
      <w:numFmt w:val="bullet"/>
      <w:lvlText w:val="•"/>
      <w:lvlJc w:val="left"/>
      <w:pPr>
        <w:ind w:left="7424" w:hanging="505"/>
      </w:pPr>
      <w:rPr>
        <w:rFonts w:hint="default"/>
        <w:lang w:val="en-US" w:eastAsia="en-US" w:bidi="ar-SA"/>
      </w:rPr>
    </w:lvl>
  </w:abstractNum>
  <w:abstractNum w:abstractNumId="7" w15:restartNumberingAfterBreak="0">
    <w:nsid w:val="1F617C4C"/>
    <w:multiLevelType w:val="multilevel"/>
    <w:tmpl w:val="E872EBBA"/>
    <w:lvl w:ilvl="0">
      <w:start w:val="2"/>
      <w:numFmt w:val="decimal"/>
      <w:lvlText w:val="%1"/>
      <w:lvlJc w:val="left"/>
      <w:pPr>
        <w:ind w:left="1027" w:hanging="425"/>
      </w:pPr>
      <w:rPr>
        <w:rFonts w:hint="default"/>
        <w:lang w:val="en-US" w:eastAsia="en-US" w:bidi="ar-SA"/>
      </w:rPr>
    </w:lvl>
    <w:lvl w:ilvl="1">
      <w:start w:val="1"/>
      <w:numFmt w:val="decimal"/>
      <w:lvlText w:val="%1.%2"/>
      <w:lvlJc w:val="left"/>
      <w:pPr>
        <w:ind w:left="1027" w:hanging="425"/>
      </w:pPr>
      <w:rPr>
        <w:rFonts w:ascii="Cambria" w:eastAsia="Cambria" w:hAnsi="Cambria" w:cs="Cambria" w:hint="default"/>
        <w:b/>
        <w:bCs/>
        <w:color w:val="4F81BC"/>
        <w:spacing w:val="-1"/>
        <w:w w:val="99"/>
        <w:sz w:val="26"/>
        <w:szCs w:val="26"/>
        <w:lang w:val="en-US" w:eastAsia="en-US" w:bidi="ar-SA"/>
      </w:rPr>
    </w:lvl>
    <w:lvl w:ilvl="2">
      <w:numFmt w:val="bullet"/>
      <w:lvlText w:val="•"/>
      <w:lvlJc w:val="left"/>
      <w:pPr>
        <w:ind w:left="2749" w:hanging="425"/>
      </w:pPr>
      <w:rPr>
        <w:rFonts w:hint="default"/>
        <w:lang w:val="en-US" w:eastAsia="en-US" w:bidi="ar-SA"/>
      </w:rPr>
    </w:lvl>
    <w:lvl w:ilvl="3">
      <w:numFmt w:val="bullet"/>
      <w:lvlText w:val="•"/>
      <w:lvlJc w:val="left"/>
      <w:pPr>
        <w:ind w:left="3613" w:hanging="425"/>
      </w:pPr>
      <w:rPr>
        <w:rFonts w:hint="default"/>
        <w:lang w:val="en-US" w:eastAsia="en-US" w:bidi="ar-SA"/>
      </w:rPr>
    </w:lvl>
    <w:lvl w:ilvl="4">
      <w:numFmt w:val="bullet"/>
      <w:lvlText w:val="•"/>
      <w:lvlJc w:val="left"/>
      <w:pPr>
        <w:ind w:left="4478" w:hanging="425"/>
      </w:pPr>
      <w:rPr>
        <w:rFonts w:hint="default"/>
        <w:lang w:val="en-US" w:eastAsia="en-US" w:bidi="ar-SA"/>
      </w:rPr>
    </w:lvl>
    <w:lvl w:ilvl="5">
      <w:numFmt w:val="bullet"/>
      <w:lvlText w:val="•"/>
      <w:lvlJc w:val="left"/>
      <w:pPr>
        <w:ind w:left="5343" w:hanging="425"/>
      </w:pPr>
      <w:rPr>
        <w:rFonts w:hint="default"/>
        <w:lang w:val="en-US" w:eastAsia="en-US" w:bidi="ar-SA"/>
      </w:rPr>
    </w:lvl>
    <w:lvl w:ilvl="6">
      <w:numFmt w:val="bullet"/>
      <w:lvlText w:val="•"/>
      <w:lvlJc w:val="left"/>
      <w:pPr>
        <w:ind w:left="6207" w:hanging="425"/>
      </w:pPr>
      <w:rPr>
        <w:rFonts w:hint="default"/>
        <w:lang w:val="en-US" w:eastAsia="en-US" w:bidi="ar-SA"/>
      </w:rPr>
    </w:lvl>
    <w:lvl w:ilvl="7">
      <w:numFmt w:val="bullet"/>
      <w:lvlText w:val="•"/>
      <w:lvlJc w:val="left"/>
      <w:pPr>
        <w:ind w:left="7072" w:hanging="425"/>
      </w:pPr>
      <w:rPr>
        <w:rFonts w:hint="default"/>
        <w:lang w:val="en-US" w:eastAsia="en-US" w:bidi="ar-SA"/>
      </w:rPr>
    </w:lvl>
    <w:lvl w:ilvl="8">
      <w:numFmt w:val="bullet"/>
      <w:lvlText w:val="•"/>
      <w:lvlJc w:val="left"/>
      <w:pPr>
        <w:ind w:left="7937" w:hanging="425"/>
      </w:pPr>
      <w:rPr>
        <w:rFonts w:hint="default"/>
        <w:lang w:val="en-US" w:eastAsia="en-US" w:bidi="ar-SA"/>
      </w:rPr>
    </w:lvl>
  </w:abstractNum>
  <w:abstractNum w:abstractNumId="8" w15:restartNumberingAfterBreak="0">
    <w:nsid w:val="21365F70"/>
    <w:multiLevelType w:val="hybridMultilevel"/>
    <w:tmpl w:val="3384BE4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39C61B7"/>
    <w:multiLevelType w:val="multilevel"/>
    <w:tmpl w:val="460825B0"/>
    <w:lvl w:ilvl="0">
      <w:start w:val="1"/>
      <w:numFmt w:val="decimal"/>
      <w:lvlText w:val="%1."/>
      <w:lvlJc w:val="left"/>
      <w:pPr>
        <w:ind w:left="619" w:hanging="360"/>
      </w:pPr>
      <w:rPr>
        <w:rFonts w:ascii="Arial" w:eastAsia="Arial" w:hAnsi="Arial" w:cs="Arial" w:hint="default"/>
        <w:b/>
        <w:bCs/>
        <w:spacing w:val="-2"/>
        <w:w w:val="100"/>
        <w:sz w:val="22"/>
        <w:szCs w:val="22"/>
        <w:lang w:val="en-US" w:eastAsia="en-US" w:bidi="ar-SA"/>
      </w:rPr>
    </w:lvl>
    <w:lvl w:ilvl="1">
      <w:start w:val="1"/>
      <w:numFmt w:val="decimal"/>
      <w:lvlText w:val="%1.%2."/>
      <w:lvlJc w:val="left"/>
      <w:pPr>
        <w:ind w:left="687" w:hanging="570"/>
      </w:pPr>
      <w:rPr>
        <w:rFonts w:ascii="Arial MT" w:eastAsia="Arial MT" w:hAnsi="Arial MT" w:cs="Arial MT" w:hint="default"/>
        <w:spacing w:val="-2"/>
        <w:w w:val="100"/>
        <w:sz w:val="22"/>
        <w:szCs w:val="22"/>
        <w:lang w:val="en-US" w:eastAsia="en-US" w:bidi="ar-SA"/>
      </w:rPr>
    </w:lvl>
    <w:lvl w:ilvl="2">
      <w:numFmt w:val="bullet"/>
      <w:lvlText w:val=""/>
      <w:lvlJc w:val="left"/>
      <w:pPr>
        <w:ind w:left="1484" w:hanging="505"/>
      </w:pPr>
      <w:rPr>
        <w:rFonts w:ascii="Symbol" w:eastAsia="Symbol" w:hAnsi="Symbol" w:cs="Symbol" w:hint="default"/>
        <w:w w:val="100"/>
        <w:sz w:val="22"/>
        <w:szCs w:val="22"/>
        <w:lang w:val="en-US" w:eastAsia="en-US" w:bidi="ar-SA"/>
      </w:rPr>
    </w:lvl>
    <w:lvl w:ilvl="3">
      <w:numFmt w:val="bullet"/>
      <w:lvlText w:val="•"/>
      <w:lvlJc w:val="left"/>
      <w:pPr>
        <w:ind w:left="2470" w:hanging="505"/>
      </w:pPr>
      <w:rPr>
        <w:rFonts w:hint="default"/>
        <w:lang w:val="en-US" w:eastAsia="en-US" w:bidi="ar-SA"/>
      </w:rPr>
    </w:lvl>
    <w:lvl w:ilvl="4">
      <w:numFmt w:val="bullet"/>
      <w:lvlText w:val="•"/>
      <w:lvlJc w:val="left"/>
      <w:pPr>
        <w:ind w:left="3461" w:hanging="505"/>
      </w:pPr>
      <w:rPr>
        <w:rFonts w:hint="default"/>
        <w:lang w:val="en-US" w:eastAsia="en-US" w:bidi="ar-SA"/>
      </w:rPr>
    </w:lvl>
    <w:lvl w:ilvl="5">
      <w:numFmt w:val="bullet"/>
      <w:lvlText w:val="•"/>
      <w:lvlJc w:val="left"/>
      <w:pPr>
        <w:ind w:left="4452" w:hanging="505"/>
      </w:pPr>
      <w:rPr>
        <w:rFonts w:hint="default"/>
        <w:lang w:val="en-US" w:eastAsia="en-US" w:bidi="ar-SA"/>
      </w:rPr>
    </w:lvl>
    <w:lvl w:ilvl="6">
      <w:numFmt w:val="bullet"/>
      <w:lvlText w:val="•"/>
      <w:lvlJc w:val="left"/>
      <w:pPr>
        <w:ind w:left="5443" w:hanging="505"/>
      </w:pPr>
      <w:rPr>
        <w:rFonts w:hint="default"/>
        <w:lang w:val="en-US" w:eastAsia="en-US" w:bidi="ar-SA"/>
      </w:rPr>
    </w:lvl>
    <w:lvl w:ilvl="7">
      <w:numFmt w:val="bullet"/>
      <w:lvlText w:val="•"/>
      <w:lvlJc w:val="left"/>
      <w:pPr>
        <w:ind w:left="6434" w:hanging="505"/>
      </w:pPr>
      <w:rPr>
        <w:rFonts w:hint="default"/>
        <w:lang w:val="en-US" w:eastAsia="en-US" w:bidi="ar-SA"/>
      </w:rPr>
    </w:lvl>
    <w:lvl w:ilvl="8">
      <w:numFmt w:val="bullet"/>
      <w:lvlText w:val="•"/>
      <w:lvlJc w:val="left"/>
      <w:pPr>
        <w:ind w:left="7424" w:hanging="505"/>
      </w:pPr>
      <w:rPr>
        <w:rFonts w:hint="default"/>
        <w:lang w:val="en-US" w:eastAsia="en-US" w:bidi="ar-SA"/>
      </w:rPr>
    </w:lvl>
  </w:abstractNum>
  <w:abstractNum w:abstractNumId="10" w15:restartNumberingAfterBreak="0">
    <w:nsid w:val="28F03CC8"/>
    <w:multiLevelType w:val="multilevel"/>
    <w:tmpl w:val="1E3E83A0"/>
    <w:lvl w:ilvl="0">
      <w:start w:val="2"/>
      <w:numFmt w:val="decimal"/>
      <w:lvlText w:val="%1"/>
      <w:lvlJc w:val="left"/>
      <w:pPr>
        <w:ind w:left="686" w:hanging="569"/>
      </w:pPr>
      <w:rPr>
        <w:rFonts w:hint="default"/>
        <w:lang w:val="en-US" w:eastAsia="en-US" w:bidi="ar-SA"/>
      </w:rPr>
    </w:lvl>
    <w:lvl w:ilvl="1">
      <w:start w:val="1"/>
      <w:numFmt w:val="decimal"/>
      <w:lvlText w:val="%1.%2."/>
      <w:lvlJc w:val="left"/>
      <w:pPr>
        <w:ind w:left="686" w:hanging="569"/>
      </w:pPr>
      <w:rPr>
        <w:rFonts w:ascii="Arial MT" w:eastAsia="Arial MT" w:hAnsi="Arial MT" w:cs="Arial MT" w:hint="default"/>
        <w:spacing w:val="-1"/>
        <w:w w:val="100"/>
        <w:sz w:val="22"/>
        <w:szCs w:val="22"/>
        <w:lang w:val="en-US" w:eastAsia="en-US" w:bidi="ar-SA"/>
      </w:rPr>
    </w:lvl>
    <w:lvl w:ilvl="2">
      <w:numFmt w:val="bullet"/>
      <w:lvlText w:val="•"/>
      <w:lvlJc w:val="left"/>
      <w:pPr>
        <w:ind w:left="2429" w:hanging="569"/>
      </w:pPr>
      <w:rPr>
        <w:rFonts w:hint="default"/>
        <w:lang w:val="en-US" w:eastAsia="en-US" w:bidi="ar-SA"/>
      </w:rPr>
    </w:lvl>
    <w:lvl w:ilvl="3">
      <w:numFmt w:val="bullet"/>
      <w:lvlText w:val="•"/>
      <w:lvlJc w:val="left"/>
      <w:pPr>
        <w:ind w:left="3303" w:hanging="569"/>
      </w:pPr>
      <w:rPr>
        <w:rFonts w:hint="default"/>
        <w:lang w:val="en-US" w:eastAsia="en-US" w:bidi="ar-SA"/>
      </w:rPr>
    </w:lvl>
    <w:lvl w:ilvl="4">
      <w:numFmt w:val="bullet"/>
      <w:lvlText w:val="•"/>
      <w:lvlJc w:val="left"/>
      <w:pPr>
        <w:ind w:left="4178" w:hanging="569"/>
      </w:pPr>
      <w:rPr>
        <w:rFonts w:hint="default"/>
        <w:lang w:val="en-US" w:eastAsia="en-US" w:bidi="ar-SA"/>
      </w:rPr>
    </w:lvl>
    <w:lvl w:ilvl="5">
      <w:numFmt w:val="bullet"/>
      <w:lvlText w:val="•"/>
      <w:lvlJc w:val="left"/>
      <w:pPr>
        <w:ind w:left="5053" w:hanging="569"/>
      </w:pPr>
      <w:rPr>
        <w:rFonts w:hint="default"/>
        <w:lang w:val="en-US" w:eastAsia="en-US" w:bidi="ar-SA"/>
      </w:rPr>
    </w:lvl>
    <w:lvl w:ilvl="6">
      <w:numFmt w:val="bullet"/>
      <w:lvlText w:val="•"/>
      <w:lvlJc w:val="left"/>
      <w:pPr>
        <w:ind w:left="5927" w:hanging="569"/>
      </w:pPr>
      <w:rPr>
        <w:rFonts w:hint="default"/>
        <w:lang w:val="en-US" w:eastAsia="en-US" w:bidi="ar-SA"/>
      </w:rPr>
    </w:lvl>
    <w:lvl w:ilvl="7">
      <w:numFmt w:val="bullet"/>
      <w:lvlText w:val="•"/>
      <w:lvlJc w:val="left"/>
      <w:pPr>
        <w:ind w:left="6802" w:hanging="569"/>
      </w:pPr>
      <w:rPr>
        <w:rFonts w:hint="default"/>
        <w:lang w:val="en-US" w:eastAsia="en-US" w:bidi="ar-SA"/>
      </w:rPr>
    </w:lvl>
    <w:lvl w:ilvl="8">
      <w:numFmt w:val="bullet"/>
      <w:lvlText w:val="•"/>
      <w:lvlJc w:val="left"/>
      <w:pPr>
        <w:ind w:left="7677" w:hanging="569"/>
      </w:pPr>
      <w:rPr>
        <w:rFonts w:hint="default"/>
        <w:lang w:val="en-US" w:eastAsia="en-US" w:bidi="ar-SA"/>
      </w:rPr>
    </w:lvl>
  </w:abstractNum>
  <w:abstractNum w:abstractNumId="11" w15:restartNumberingAfterBreak="0">
    <w:nsid w:val="2D3B6E01"/>
    <w:multiLevelType w:val="multilevel"/>
    <w:tmpl w:val="D6CE1B3C"/>
    <w:lvl w:ilvl="0">
      <w:start w:val="1"/>
      <w:numFmt w:val="decimal"/>
      <w:lvlText w:val="%1"/>
      <w:lvlJc w:val="left"/>
      <w:pPr>
        <w:ind w:left="1028" w:hanging="425"/>
      </w:pPr>
      <w:rPr>
        <w:rFonts w:hint="default"/>
        <w:lang w:val="en-US" w:eastAsia="en-US" w:bidi="ar-SA"/>
      </w:rPr>
    </w:lvl>
    <w:lvl w:ilvl="1">
      <w:start w:val="1"/>
      <w:numFmt w:val="decimal"/>
      <w:lvlText w:val="%1.%2"/>
      <w:lvlJc w:val="left"/>
      <w:pPr>
        <w:ind w:left="1028" w:hanging="425"/>
        <w:jc w:val="right"/>
      </w:pPr>
      <w:rPr>
        <w:rFonts w:ascii="Cambria" w:eastAsia="Cambria" w:hAnsi="Cambria" w:cs="Cambria" w:hint="default"/>
        <w:b/>
        <w:bCs/>
        <w:color w:val="4F81BC"/>
        <w:spacing w:val="-1"/>
        <w:w w:val="99"/>
        <w:sz w:val="26"/>
        <w:szCs w:val="26"/>
        <w:lang w:val="en-US" w:eastAsia="en-US" w:bidi="ar-SA"/>
      </w:rPr>
    </w:lvl>
    <w:lvl w:ilvl="2">
      <w:numFmt w:val="bullet"/>
      <w:lvlText w:val="•"/>
      <w:lvlJc w:val="left"/>
      <w:pPr>
        <w:ind w:left="2749" w:hanging="425"/>
      </w:pPr>
      <w:rPr>
        <w:rFonts w:hint="default"/>
        <w:lang w:val="en-US" w:eastAsia="en-US" w:bidi="ar-SA"/>
      </w:rPr>
    </w:lvl>
    <w:lvl w:ilvl="3">
      <w:numFmt w:val="bullet"/>
      <w:lvlText w:val="•"/>
      <w:lvlJc w:val="left"/>
      <w:pPr>
        <w:ind w:left="3613" w:hanging="425"/>
      </w:pPr>
      <w:rPr>
        <w:rFonts w:hint="default"/>
        <w:lang w:val="en-US" w:eastAsia="en-US" w:bidi="ar-SA"/>
      </w:rPr>
    </w:lvl>
    <w:lvl w:ilvl="4">
      <w:numFmt w:val="bullet"/>
      <w:lvlText w:val="•"/>
      <w:lvlJc w:val="left"/>
      <w:pPr>
        <w:ind w:left="4478" w:hanging="425"/>
      </w:pPr>
      <w:rPr>
        <w:rFonts w:hint="default"/>
        <w:lang w:val="en-US" w:eastAsia="en-US" w:bidi="ar-SA"/>
      </w:rPr>
    </w:lvl>
    <w:lvl w:ilvl="5">
      <w:numFmt w:val="bullet"/>
      <w:lvlText w:val="•"/>
      <w:lvlJc w:val="left"/>
      <w:pPr>
        <w:ind w:left="5343" w:hanging="425"/>
      </w:pPr>
      <w:rPr>
        <w:rFonts w:hint="default"/>
        <w:lang w:val="en-US" w:eastAsia="en-US" w:bidi="ar-SA"/>
      </w:rPr>
    </w:lvl>
    <w:lvl w:ilvl="6">
      <w:numFmt w:val="bullet"/>
      <w:lvlText w:val="•"/>
      <w:lvlJc w:val="left"/>
      <w:pPr>
        <w:ind w:left="6207" w:hanging="425"/>
      </w:pPr>
      <w:rPr>
        <w:rFonts w:hint="default"/>
        <w:lang w:val="en-US" w:eastAsia="en-US" w:bidi="ar-SA"/>
      </w:rPr>
    </w:lvl>
    <w:lvl w:ilvl="7">
      <w:numFmt w:val="bullet"/>
      <w:lvlText w:val="•"/>
      <w:lvlJc w:val="left"/>
      <w:pPr>
        <w:ind w:left="7072" w:hanging="425"/>
      </w:pPr>
      <w:rPr>
        <w:rFonts w:hint="default"/>
        <w:lang w:val="en-US" w:eastAsia="en-US" w:bidi="ar-SA"/>
      </w:rPr>
    </w:lvl>
    <w:lvl w:ilvl="8">
      <w:numFmt w:val="bullet"/>
      <w:lvlText w:val="•"/>
      <w:lvlJc w:val="left"/>
      <w:pPr>
        <w:ind w:left="7937" w:hanging="425"/>
      </w:pPr>
      <w:rPr>
        <w:rFonts w:hint="default"/>
        <w:lang w:val="en-US" w:eastAsia="en-US" w:bidi="ar-SA"/>
      </w:rPr>
    </w:lvl>
  </w:abstractNum>
  <w:abstractNum w:abstractNumId="12" w15:restartNumberingAfterBreak="0">
    <w:nsid w:val="338B2A94"/>
    <w:multiLevelType w:val="hybridMultilevel"/>
    <w:tmpl w:val="392EF0D6"/>
    <w:lvl w:ilvl="0" w:tplc="F1E80A8C">
      <w:start w:val="36"/>
      <w:numFmt w:val="decimal"/>
      <w:lvlText w:val="%1."/>
      <w:lvlJc w:val="left"/>
      <w:pPr>
        <w:ind w:left="6457" w:hanging="361"/>
      </w:pPr>
      <w:rPr>
        <w:rFonts w:ascii="Calibri" w:eastAsia="Calibri" w:hAnsi="Calibri" w:cs="Calibri" w:hint="default"/>
        <w:w w:val="100"/>
        <w:sz w:val="22"/>
        <w:szCs w:val="22"/>
        <w:lang w:val="en-US" w:eastAsia="en-US" w:bidi="ar-SA"/>
      </w:rPr>
    </w:lvl>
    <w:lvl w:ilvl="1" w:tplc="F6605D16">
      <w:numFmt w:val="bullet"/>
      <w:lvlText w:val="•"/>
      <w:lvlJc w:val="left"/>
      <w:pPr>
        <w:ind w:left="7319" w:hanging="361"/>
      </w:pPr>
      <w:rPr>
        <w:rFonts w:hint="default"/>
        <w:lang w:val="en-US" w:eastAsia="en-US" w:bidi="ar-SA"/>
      </w:rPr>
    </w:lvl>
    <w:lvl w:ilvl="2" w:tplc="A1B40EBE">
      <w:numFmt w:val="bullet"/>
      <w:lvlText w:val="•"/>
      <w:lvlJc w:val="left"/>
      <w:pPr>
        <w:ind w:left="8182" w:hanging="361"/>
      </w:pPr>
      <w:rPr>
        <w:rFonts w:hint="default"/>
        <w:lang w:val="en-US" w:eastAsia="en-US" w:bidi="ar-SA"/>
      </w:rPr>
    </w:lvl>
    <w:lvl w:ilvl="3" w:tplc="ECE6EE0E">
      <w:numFmt w:val="bullet"/>
      <w:lvlText w:val="•"/>
      <w:lvlJc w:val="left"/>
      <w:pPr>
        <w:ind w:left="9044" w:hanging="361"/>
      </w:pPr>
      <w:rPr>
        <w:rFonts w:hint="default"/>
        <w:lang w:val="en-US" w:eastAsia="en-US" w:bidi="ar-SA"/>
      </w:rPr>
    </w:lvl>
    <w:lvl w:ilvl="4" w:tplc="52840A7C">
      <w:numFmt w:val="bullet"/>
      <w:lvlText w:val="•"/>
      <w:lvlJc w:val="left"/>
      <w:pPr>
        <w:ind w:left="9907" w:hanging="361"/>
      </w:pPr>
      <w:rPr>
        <w:rFonts w:hint="default"/>
        <w:lang w:val="en-US" w:eastAsia="en-US" w:bidi="ar-SA"/>
      </w:rPr>
    </w:lvl>
    <w:lvl w:ilvl="5" w:tplc="AF62EA98">
      <w:numFmt w:val="bullet"/>
      <w:lvlText w:val="•"/>
      <w:lvlJc w:val="left"/>
      <w:pPr>
        <w:ind w:left="10770" w:hanging="361"/>
      </w:pPr>
      <w:rPr>
        <w:rFonts w:hint="default"/>
        <w:lang w:val="en-US" w:eastAsia="en-US" w:bidi="ar-SA"/>
      </w:rPr>
    </w:lvl>
    <w:lvl w:ilvl="6" w:tplc="5A6A2ACE">
      <w:numFmt w:val="bullet"/>
      <w:lvlText w:val="•"/>
      <w:lvlJc w:val="left"/>
      <w:pPr>
        <w:ind w:left="11632" w:hanging="361"/>
      </w:pPr>
      <w:rPr>
        <w:rFonts w:hint="default"/>
        <w:lang w:val="en-US" w:eastAsia="en-US" w:bidi="ar-SA"/>
      </w:rPr>
    </w:lvl>
    <w:lvl w:ilvl="7" w:tplc="67B29EBC">
      <w:numFmt w:val="bullet"/>
      <w:lvlText w:val="•"/>
      <w:lvlJc w:val="left"/>
      <w:pPr>
        <w:ind w:left="12495" w:hanging="361"/>
      </w:pPr>
      <w:rPr>
        <w:rFonts w:hint="default"/>
        <w:lang w:val="en-US" w:eastAsia="en-US" w:bidi="ar-SA"/>
      </w:rPr>
    </w:lvl>
    <w:lvl w:ilvl="8" w:tplc="211EBDA0">
      <w:numFmt w:val="bullet"/>
      <w:lvlText w:val="•"/>
      <w:lvlJc w:val="left"/>
      <w:pPr>
        <w:ind w:left="13358" w:hanging="361"/>
      </w:pPr>
      <w:rPr>
        <w:rFonts w:hint="default"/>
        <w:lang w:val="en-US" w:eastAsia="en-US" w:bidi="ar-SA"/>
      </w:rPr>
    </w:lvl>
  </w:abstractNum>
  <w:abstractNum w:abstractNumId="13" w15:restartNumberingAfterBreak="0">
    <w:nsid w:val="34781CC5"/>
    <w:multiLevelType w:val="multilevel"/>
    <w:tmpl w:val="460825B0"/>
    <w:lvl w:ilvl="0">
      <w:start w:val="1"/>
      <w:numFmt w:val="decimal"/>
      <w:lvlText w:val="%1."/>
      <w:lvlJc w:val="left"/>
      <w:pPr>
        <w:ind w:left="619" w:hanging="360"/>
      </w:pPr>
      <w:rPr>
        <w:rFonts w:ascii="Arial" w:eastAsia="Arial" w:hAnsi="Arial" w:cs="Arial" w:hint="default"/>
        <w:b/>
        <w:bCs/>
        <w:spacing w:val="-2"/>
        <w:w w:val="100"/>
        <w:sz w:val="22"/>
        <w:szCs w:val="22"/>
        <w:lang w:val="en-US" w:eastAsia="en-US" w:bidi="ar-SA"/>
      </w:rPr>
    </w:lvl>
    <w:lvl w:ilvl="1">
      <w:start w:val="1"/>
      <w:numFmt w:val="decimal"/>
      <w:lvlText w:val="%1.%2."/>
      <w:lvlJc w:val="left"/>
      <w:pPr>
        <w:ind w:left="687" w:hanging="570"/>
      </w:pPr>
      <w:rPr>
        <w:rFonts w:ascii="Arial MT" w:eastAsia="Arial MT" w:hAnsi="Arial MT" w:cs="Arial MT" w:hint="default"/>
        <w:spacing w:val="-2"/>
        <w:w w:val="100"/>
        <w:sz w:val="22"/>
        <w:szCs w:val="22"/>
        <w:lang w:val="en-US" w:eastAsia="en-US" w:bidi="ar-SA"/>
      </w:rPr>
    </w:lvl>
    <w:lvl w:ilvl="2">
      <w:numFmt w:val="bullet"/>
      <w:lvlText w:val=""/>
      <w:lvlJc w:val="left"/>
      <w:pPr>
        <w:ind w:left="1484" w:hanging="505"/>
      </w:pPr>
      <w:rPr>
        <w:rFonts w:ascii="Symbol" w:eastAsia="Symbol" w:hAnsi="Symbol" w:cs="Symbol" w:hint="default"/>
        <w:w w:val="100"/>
        <w:sz w:val="22"/>
        <w:szCs w:val="22"/>
        <w:lang w:val="en-US" w:eastAsia="en-US" w:bidi="ar-SA"/>
      </w:rPr>
    </w:lvl>
    <w:lvl w:ilvl="3">
      <w:numFmt w:val="bullet"/>
      <w:lvlText w:val="•"/>
      <w:lvlJc w:val="left"/>
      <w:pPr>
        <w:ind w:left="2470" w:hanging="505"/>
      </w:pPr>
      <w:rPr>
        <w:rFonts w:hint="default"/>
        <w:lang w:val="en-US" w:eastAsia="en-US" w:bidi="ar-SA"/>
      </w:rPr>
    </w:lvl>
    <w:lvl w:ilvl="4">
      <w:numFmt w:val="bullet"/>
      <w:lvlText w:val="•"/>
      <w:lvlJc w:val="left"/>
      <w:pPr>
        <w:ind w:left="3461" w:hanging="505"/>
      </w:pPr>
      <w:rPr>
        <w:rFonts w:hint="default"/>
        <w:lang w:val="en-US" w:eastAsia="en-US" w:bidi="ar-SA"/>
      </w:rPr>
    </w:lvl>
    <w:lvl w:ilvl="5">
      <w:numFmt w:val="bullet"/>
      <w:lvlText w:val="•"/>
      <w:lvlJc w:val="left"/>
      <w:pPr>
        <w:ind w:left="4452" w:hanging="505"/>
      </w:pPr>
      <w:rPr>
        <w:rFonts w:hint="default"/>
        <w:lang w:val="en-US" w:eastAsia="en-US" w:bidi="ar-SA"/>
      </w:rPr>
    </w:lvl>
    <w:lvl w:ilvl="6">
      <w:numFmt w:val="bullet"/>
      <w:lvlText w:val="•"/>
      <w:lvlJc w:val="left"/>
      <w:pPr>
        <w:ind w:left="5443" w:hanging="505"/>
      </w:pPr>
      <w:rPr>
        <w:rFonts w:hint="default"/>
        <w:lang w:val="en-US" w:eastAsia="en-US" w:bidi="ar-SA"/>
      </w:rPr>
    </w:lvl>
    <w:lvl w:ilvl="7">
      <w:numFmt w:val="bullet"/>
      <w:lvlText w:val="•"/>
      <w:lvlJc w:val="left"/>
      <w:pPr>
        <w:ind w:left="6434" w:hanging="505"/>
      </w:pPr>
      <w:rPr>
        <w:rFonts w:hint="default"/>
        <w:lang w:val="en-US" w:eastAsia="en-US" w:bidi="ar-SA"/>
      </w:rPr>
    </w:lvl>
    <w:lvl w:ilvl="8">
      <w:numFmt w:val="bullet"/>
      <w:lvlText w:val="•"/>
      <w:lvlJc w:val="left"/>
      <w:pPr>
        <w:ind w:left="7424" w:hanging="505"/>
      </w:pPr>
      <w:rPr>
        <w:rFonts w:hint="default"/>
        <w:lang w:val="en-US" w:eastAsia="en-US" w:bidi="ar-SA"/>
      </w:rPr>
    </w:lvl>
  </w:abstractNum>
  <w:abstractNum w:abstractNumId="14" w15:restartNumberingAfterBreak="0">
    <w:nsid w:val="3A1566C0"/>
    <w:multiLevelType w:val="multilevel"/>
    <w:tmpl w:val="460825B0"/>
    <w:lvl w:ilvl="0">
      <w:start w:val="1"/>
      <w:numFmt w:val="decimal"/>
      <w:lvlText w:val="%1."/>
      <w:lvlJc w:val="left"/>
      <w:pPr>
        <w:ind w:left="619" w:hanging="360"/>
      </w:pPr>
      <w:rPr>
        <w:rFonts w:ascii="Arial" w:eastAsia="Arial" w:hAnsi="Arial" w:cs="Arial" w:hint="default"/>
        <w:b/>
        <w:bCs/>
        <w:spacing w:val="-2"/>
        <w:w w:val="100"/>
        <w:sz w:val="22"/>
        <w:szCs w:val="22"/>
        <w:lang w:val="en-US" w:eastAsia="en-US" w:bidi="ar-SA"/>
      </w:rPr>
    </w:lvl>
    <w:lvl w:ilvl="1">
      <w:start w:val="1"/>
      <w:numFmt w:val="decimal"/>
      <w:lvlText w:val="%1.%2."/>
      <w:lvlJc w:val="left"/>
      <w:pPr>
        <w:ind w:left="687" w:hanging="570"/>
      </w:pPr>
      <w:rPr>
        <w:rFonts w:ascii="Arial MT" w:eastAsia="Arial MT" w:hAnsi="Arial MT" w:cs="Arial MT" w:hint="default"/>
        <w:spacing w:val="-2"/>
        <w:w w:val="100"/>
        <w:sz w:val="22"/>
        <w:szCs w:val="22"/>
        <w:lang w:val="en-US" w:eastAsia="en-US" w:bidi="ar-SA"/>
      </w:rPr>
    </w:lvl>
    <w:lvl w:ilvl="2">
      <w:numFmt w:val="bullet"/>
      <w:lvlText w:val=""/>
      <w:lvlJc w:val="left"/>
      <w:pPr>
        <w:ind w:left="1484" w:hanging="505"/>
      </w:pPr>
      <w:rPr>
        <w:rFonts w:ascii="Symbol" w:eastAsia="Symbol" w:hAnsi="Symbol" w:cs="Symbol" w:hint="default"/>
        <w:w w:val="100"/>
        <w:sz w:val="22"/>
        <w:szCs w:val="22"/>
        <w:lang w:val="en-US" w:eastAsia="en-US" w:bidi="ar-SA"/>
      </w:rPr>
    </w:lvl>
    <w:lvl w:ilvl="3">
      <w:numFmt w:val="bullet"/>
      <w:lvlText w:val="•"/>
      <w:lvlJc w:val="left"/>
      <w:pPr>
        <w:ind w:left="2470" w:hanging="505"/>
      </w:pPr>
      <w:rPr>
        <w:rFonts w:hint="default"/>
        <w:lang w:val="en-US" w:eastAsia="en-US" w:bidi="ar-SA"/>
      </w:rPr>
    </w:lvl>
    <w:lvl w:ilvl="4">
      <w:numFmt w:val="bullet"/>
      <w:lvlText w:val="•"/>
      <w:lvlJc w:val="left"/>
      <w:pPr>
        <w:ind w:left="3461" w:hanging="505"/>
      </w:pPr>
      <w:rPr>
        <w:rFonts w:hint="default"/>
        <w:lang w:val="en-US" w:eastAsia="en-US" w:bidi="ar-SA"/>
      </w:rPr>
    </w:lvl>
    <w:lvl w:ilvl="5">
      <w:numFmt w:val="bullet"/>
      <w:lvlText w:val="•"/>
      <w:lvlJc w:val="left"/>
      <w:pPr>
        <w:ind w:left="4452" w:hanging="505"/>
      </w:pPr>
      <w:rPr>
        <w:rFonts w:hint="default"/>
        <w:lang w:val="en-US" w:eastAsia="en-US" w:bidi="ar-SA"/>
      </w:rPr>
    </w:lvl>
    <w:lvl w:ilvl="6">
      <w:numFmt w:val="bullet"/>
      <w:lvlText w:val="•"/>
      <w:lvlJc w:val="left"/>
      <w:pPr>
        <w:ind w:left="5443" w:hanging="505"/>
      </w:pPr>
      <w:rPr>
        <w:rFonts w:hint="default"/>
        <w:lang w:val="en-US" w:eastAsia="en-US" w:bidi="ar-SA"/>
      </w:rPr>
    </w:lvl>
    <w:lvl w:ilvl="7">
      <w:numFmt w:val="bullet"/>
      <w:lvlText w:val="•"/>
      <w:lvlJc w:val="left"/>
      <w:pPr>
        <w:ind w:left="6434" w:hanging="505"/>
      </w:pPr>
      <w:rPr>
        <w:rFonts w:hint="default"/>
        <w:lang w:val="en-US" w:eastAsia="en-US" w:bidi="ar-SA"/>
      </w:rPr>
    </w:lvl>
    <w:lvl w:ilvl="8">
      <w:numFmt w:val="bullet"/>
      <w:lvlText w:val="•"/>
      <w:lvlJc w:val="left"/>
      <w:pPr>
        <w:ind w:left="7424" w:hanging="505"/>
      </w:pPr>
      <w:rPr>
        <w:rFonts w:hint="default"/>
        <w:lang w:val="en-US" w:eastAsia="en-US" w:bidi="ar-SA"/>
      </w:rPr>
    </w:lvl>
  </w:abstractNum>
  <w:abstractNum w:abstractNumId="15" w15:restartNumberingAfterBreak="0">
    <w:nsid w:val="3D622163"/>
    <w:multiLevelType w:val="multilevel"/>
    <w:tmpl w:val="AF1659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4C722F"/>
    <w:multiLevelType w:val="hybridMultilevel"/>
    <w:tmpl w:val="67EC57A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3C87F3B"/>
    <w:multiLevelType w:val="multilevel"/>
    <w:tmpl w:val="8CA2C5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6026F3D"/>
    <w:multiLevelType w:val="hybridMultilevel"/>
    <w:tmpl w:val="21F62B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8A4701"/>
    <w:multiLevelType w:val="hybridMultilevel"/>
    <w:tmpl w:val="58564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B008E1"/>
    <w:multiLevelType w:val="multilevel"/>
    <w:tmpl w:val="257EDC1A"/>
    <w:lvl w:ilvl="0">
      <w:start w:val="1"/>
      <w:numFmt w:val="decimal"/>
      <w:lvlText w:val="%1."/>
      <w:lvlJc w:val="left"/>
      <w:pPr>
        <w:ind w:left="619" w:hanging="360"/>
      </w:pPr>
      <w:rPr>
        <w:rFonts w:ascii="Arial MT" w:eastAsia="Arial" w:hAnsi="Arial MT" w:cs="Arial" w:hint="default"/>
        <w:b/>
        <w:bCs/>
        <w:spacing w:val="-1"/>
        <w:w w:val="100"/>
        <w:sz w:val="28"/>
        <w:szCs w:val="28"/>
        <w:lang w:val="en-US" w:eastAsia="en-US" w:bidi="ar-SA"/>
      </w:rPr>
    </w:lvl>
    <w:lvl w:ilvl="1">
      <w:start w:val="1"/>
      <w:numFmt w:val="decimal"/>
      <w:lvlText w:val="%1.%2."/>
      <w:lvlJc w:val="left"/>
      <w:pPr>
        <w:ind w:left="687" w:hanging="569"/>
      </w:pPr>
      <w:rPr>
        <w:rFonts w:ascii="Arial MT" w:eastAsia="Arial MT" w:hAnsi="Arial MT" w:cs="Arial MT" w:hint="default"/>
        <w:i w:val="0"/>
        <w:iCs w:val="0"/>
        <w:spacing w:val="-1"/>
        <w:w w:val="100"/>
        <w:sz w:val="22"/>
        <w:szCs w:val="22"/>
        <w:lang w:val="en-US" w:eastAsia="en-US" w:bidi="ar-SA"/>
      </w:rPr>
    </w:lvl>
    <w:lvl w:ilvl="2">
      <w:numFmt w:val="bullet"/>
      <w:lvlText w:val=""/>
      <w:lvlJc w:val="left"/>
      <w:pPr>
        <w:ind w:left="1483" w:hanging="505"/>
      </w:pPr>
      <w:rPr>
        <w:rFonts w:ascii="Symbol" w:eastAsia="Symbol" w:hAnsi="Symbol" w:cs="Symbol" w:hint="default"/>
        <w:w w:val="100"/>
        <w:sz w:val="22"/>
        <w:szCs w:val="22"/>
        <w:lang w:val="en-US" w:eastAsia="en-US" w:bidi="ar-SA"/>
      </w:rPr>
    </w:lvl>
    <w:lvl w:ilvl="3">
      <w:numFmt w:val="bullet"/>
      <w:lvlText w:val="•"/>
      <w:lvlJc w:val="left"/>
      <w:pPr>
        <w:ind w:left="2473" w:hanging="505"/>
      </w:pPr>
      <w:rPr>
        <w:rFonts w:hint="default"/>
        <w:lang w:val="en-US" w:eastAsia="en-US" w:bidi="ar-SA"/>
      </w:rPr>
    </w:lvl>
    <w:lvl w:ilvl="4">
      <w:numFmt w:val="bullet"/>
      <w:lvlText w:val="•"/>
      <w:lvlJc w:val="left"/>
      <w:pPr>
        <w:ind w:left="3466" w:hanging="505"/>
      </w:pPr>
      <w:rPr>
        <w:rFonts w:hint="default"/>
        <w:lang w:val="en-US" w:eastAsia="en-US" w:bidi="ar-SA"/>
      </w:rPr>
    </w:lvl>
    <w:lvl w:ilvl="5">
      <w:numFmt w:val="bullet"/>
      <w:lvlText w:val="•"/>
      <w:lvlJc w:val="left"/>
      <w:pPr>
        <w:ind w:left="4459" w:hanging="505"/>
      </w:pPr>
      <w:rPr>
        <w:rFonts w:hint="default"/>
        <w:lang w:val="en-US" w:eastAsia="en-US" w:bidi="ar-SA"/>
      </w:rPr>
    </w:lvl>
    <w:lvl w:ilvl="6">
      <w:numFmt w:val="bullet"/>
      <w:lvlText w:val="•"/>
      <w:lvlJc w:val="left"/>
      <w:pPr>
        <w:ind w:left="5453" w:hanging="505"/>
      </w:pPr>
      <w:rPr>
        <w:rFonts w:hint="default"/>
        <w:lang w:val="en-US" w:eastAsia="en-US" w:bidi="ar-SA"/>
      </w:rPr>
    </w:lvl>
    <w:lvl w:ilvl="7">
      <w:numFmt w:val="bullet"/>
      <w:lvlText w:val="•"/>
      <w:lvlJc w:val="left"/>
      <w:pPr>
        <w:ind w:left="6446" w:hanging="505"/>
      </w:pPr>
      <w:rPr>
        <w:rFonts w:hint="default"/>
        <w:lang w:val="en-US" w:eastAsia="en-US" w:bidi="ar-SA"/>
      </w:rPr>
    </w:lvl>
    <w:lvl w:ilvl="8">
      <w:numFmt w:val="bullet"/>
      <w:lvlText w:val="•"/>
      <w:lvlJc w:val="left"/>
      <w:pPr>
        <w:ind w:left="7439" w:hanging="505"/>
      </w:pPr>
      <w:rPr>
        <w:rFonts w:hint="default"/>
        <w:lang w:val="en-US" w:eastAsia="en-US" w:bidi="ar-SA"/>
      </w:rPr>
    </w:lvl>
  </w:abstractNum>
  <w:abstractNum w:abstractNumId="21" w15:restartNumberingAfterBreak="0">
    <w:nsid w:val="5ADF635F"/>
    <w:multiLevelType w:val="hybridMultilevel"/>
    <w:tmpl w:val="FF6C750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70F719E"/>
    <w:multiLevelType w:val="multilevel"/>
    <w:tmpl w:val="27E01B8C"/>
    <w:lvl w:ilvl="0">
      <w:start w:val="1"/>
      <w:numFmt w:val="decimal"/>
      <w:lvlText w:val="%1"/>
      <w:lvlJc w:val="left"/>
      <w:pPr>
        <w:ind w:left="687" w:hanging="569"/>
      </w:pPr>
      <w:rPr>
        <w:rFonts w:hint="default"/>
        <w:lang w:val="en-US" w:eastAsia="en-US" w:bidi="ar-SA"/>
      </w:rPr>
    </w:lvl>
    <w:lvl w:ilvl="1">
      <w:start w:val="1"/>
      <w:numFmt w:val="decimal"/>
      <w:lvlText w:val="%1.%2."/>
      <w:lvlJc w:val="left"/>
      <w:pPr>
        <w:ind w:left="687" w:hanging="569"/>
      </w:pPr>
      <w:rPr>
        <w:rFonts w:ascii="Arial MT" w:eastAsia="Arial MT" w:hAnsi="Arial MT" w:cs="Arial MT" w:hint="default"/>
        <w:spacing w:val="-1"/>
        <w:w w:val="100"/>
        <w:sz w:val="22"/>
        <w:szCs w:val="22"/>
        <w:lang w:val="en-US" w:eastAsia="en-US" w:bidi="ar-SA"/>
      </w:rPr>
    </w:lvl>
    <w:lvl w:ilvl="2">
      <w:numFmt w:val="bullet"/>
      <w:lvlText w:val="•"/>
      <w:lvlJc w:val="left"/>
      <w:pPr>
        <w:ind w:left="2429" w:hanging="569"/>
      </w:pPr>
      <w:rPr>
        <w:rFonts w:hint="default"/>
        <w:lang w:val="en-US" w:eastAsia="en-US" w:bidi="ar-SA"/>
      </w:rPr>
    </w:lvl>
    <w:lvl w:ilvl="3">
      <w:numFmt w:val="bullet"/>
      <w:lvlText w:val="•"/>
      <w:lvlJc w:val="left"/>
      <w:pPr>
        <w:ind w:left="3303" w:hanging="569"/>
      </w:pPr>
      <w:rPr>
        <w:rFonts w:hint="default"/>
        <w:lang w:val="en-US" w:eastAsia="en-US" w:bidi="ar-SA"/>
      </w:rPr>
    </w:lvl>
    <w:lvl w:ilvl="4">
      <w:numFmt w:val="bullet"/>
      <w:lvlText w:val="•"/>
      <w:lvlJc w:val="left"/>
      <w:pPr>
        <w:ind w:left="4178" w:hanging="569"/>
      </w:pPr>
      <w:rPr>
        <w:rFonts w:hint="default"/>
        <w:lang w:val="en-US" w:eastAsia="en-US" w:bidi="ar-SA"/>
      </w:rPr>
    </w:lvl>
    <w:lvl w:ilvl="5">
      <w:numFmt w:val="bullet"/>
      <w:lvlText w:val="•"/>
      <w:lvlJc w:val="left"/>
      <w:pPr>
        <w:ind w:left="5053" w:hanging="569"/>
      </w:pPr>
      <w:rPr>
        <w:rFonts w:hint="default"/>
        <w:lang w:val="en-US" w:eastAsia="en-US" w:bidi="ar-SA"/>
      </w:rPr>
    </w:lvl>
    <w:lvl w:ilvl="6">
      <w:numFmt w:val="bullet"/>
      <w:lvlText w:val="•"/>
      <w:lvlJc w:val="left"/>
      <w:pPr>
        <w:ind w:left="5927" w:hanging="569"/>
      </w:pPr>
      <w:rPr>
        <w:rFonts w:hint="default"/>
        <w:lang w:val="en-US" w:eastAsia="en-US" w:bidi="ar-SA"/>
      </w:rPr>
    </w:lvl>
    <w:lvl w:ilvl="7">
      <w:numFmt w:val="bullet"/>
      <w:lvlText w:val="•"/>
      <w:lvlJc w:val="left"/>
      <w:pPr>
        <w:ind w:left="6802" w:hanging="569"/>
      </w:pPr>
      <w:rPr>
        <w:rFonts w:hint="default"/>
        <w:lang w:val="en-US" w:eastAsia="en-US" w:bidi="ar-SA"/>
      </w:rPr>
    </w:lvl>
    <w:lvl w:ilvl="8">
      <w:numFmt w:val="bullet"/>
      <w:lvlText w:val="•"/>
      <w:lvlJc w:val="left"/>
      <w:pPr>
        <w:ind w:left="7677" w:hanging="569"/>
      </w:pPr>
      <w:rPr>
        <w:rFonts w:hint="default"/>
        <w:lang w:val="en-US" w:eastAsia="en-US" w:bidi="ar-SA"/>
      </w:rPr>
    </w:lvl>
  </w:abstractNum>
  <w:abstractNum w:abstractNumId="23" w15:restartNumberingAfterBreak="0">
    <w:nsid w:val="6F2D6DAA"/>
    <w:multiLevelType w:val="multilevel"/>
    <w:tmpl w:val="5058D6C0"/>
    <w:lvl w:ilvl="0">
      <w:start w:val="1"/>
      <w:numFmt w:val="decimal"/>
      <w:lvlText w:val="%1."/>
      <w:lvlJc w:val="left"/>
      <w:pPr>
        <w:ind w:left="538" w:hanging="219"/>
      </w:pPr>
      <w:rPr>
        <w:rFonts w:ascii="Calibri" w:eastAsia="Calibri" w:hAnsi="Calibri" w:cs="Calibri" w:hint="default"/>
        <w:w w:val="100"/>
        <w:sz w:val="22"/>
        <w:szCs w:val="22"/>
        <w:lang w:val="en-US" w:eastAsia="en-US" w:bidi="ar-SA"/>
      </w:rPr>
    </w:lvl>
    <w:lvl w:ilvl="1">
      <w:start w:val="1"/>
      <w:numFmt w:val="decimal"/>
      <w:lvlText w:val="%1.%2"/>
      <w:lvlJc w:val="left"/>
      <w:pPr>
        <w:ind w:left="869" w:hanging="329"/>
      </w:pPr>
      <w:rPr>
        <w:rFonts w:ascii="Calibri" w:eastAsia="Calibri" w:hAnsi="Calibri" w:cs="Calibri" w:hint="default"/>
        <w:spacing w:val="-1"/>
        <w:w w:val="100"/>
        <w:sz w:val="22"/>
        <w:szCs w:val="22"/>
        <w:lang w:val="en-US" w:eastAsia="en-US" w:bidi="ar-SA"/>
      </w:rPr>
    </w:lvl>
    <w:lvl w:ilvl="2">
      <w:numFmt w:val="bullet"/>
      <w:lvlText w:val="•"/>
      <w:lvlJc w:val="left"/>
      <w:pPr>
        <w:ind w:left="880" w:hanging="329"/>
      </w:pPr>
      <w:rPr>
        <w:rFonts w:hint="default"/>
        <w:lang w:val="en-US" w:eastAsia="en-US" w:bidi="ar-SA"/>
      </w:rPr>
    </w:lvl>
    <w:lvl w:ilvl="3">
      <w:numFmt w:val="bullet"/>
      <w:lvlText w:val="•"/>
      <w:lvlJc w:val="left"/>
      <w:pPr>
        <w:ind w:left="1978" w:hanging="329"/>
      </w:pPr>
      <w:rPr>
        <w:rFonts w:hint="default"/>
        <w:lang w:val="en-US" w:eastAsia="en-US" w:bidi="ar-SA"/>
      </w:rPr>
    </w:lvl>
    <w:lvl w:ilvl="4">
      <w:numFmt w:val="bullet"/>
      <w:lvlText w:val="•"/>
      <w:lvlJc w:val="left"/>
      <w:pPr>
        <w:ind w:left="3076" w:hanging="329"/>
      </w:pPr>
      <w:rPr>
        <w:rFonts w:hint="default"/>
        <w:lang w:val="en-US" w:eastAsia="en-US" w:bidi="ar-SA"/>
      </w:rPr>
    </w:lvl>
    <w:lvl w:ilvl="5">
      <w:numFmt w:val="bullet"/>
      <w:lvlText w:val="•"/>
      <w:lvlJc w:val="left"/>
      <w:pPr>
        <w:ind w:left="4174" w:hanging="329"/>
      </w:pPr>
      <w:rPr>
        <w:rFonts w:hint="default"/>
        <w:lang w:val="en-US" w:eastAsia="en-US" w:bidi="ar-SA"/>
      </w:rPr>
    </w:lvl>
    <w:lvl w:ilvl="6">
      <w:numFmt w:val="bullet"/>
      <w:lvlText w:val="•"/>
      <w:lvlJc w:val="left"/>
      <w:pPr>
        <w:ind w:left="5273" w:hanging="329"/>
      </w:pPr>
      <w:rPr>
        <w:rFonts w:hint="default"/>
        <w:lang w:val="en-US" w:eastAsia="en-US" w:bidi="ar-SA"/>
      </w:rPr>
    </w:lvl>
    <w:lvl w:ilvl="7">
      <w:numFmt w:val="bullet"/>
      <w:lvlText w:val="•"/>
      <w:lvlJc w:val="left"/>
      <w:pPr>
        <w:ind w:left="6371" w:hanging="329"/>
      </w:pPr>
      <w:rPr>
        <w:rFonts w:hint="default"/>
        <w:lang w:val="en-US" w:eastAsia="en-US" w:bidi="ar-SA"/>
      </w:rPr>
    </w:lvl>
    <w:lvl w:ilvl="8">
      <w:numFmt w:val="bullet"/>
      <w:lvlText w:val="•"/>
      <w:lvlJc w:val="left"/>
      <w:pPr>
        <w:ind w:left="7469" w:hanging="329"/>
      </w:pPr>
      <w:rPr>
        <w:rFonts w:hint="default"/>
        <w:lang w:val="en-US" w:eastAsia="en-US" w:bidi="ar-SA"/>
      </w:rPr>
    </w:lvl>
  </w:abstractNum>
  <w:num w:numId="1" w16cid:durableId="548415785">
    <w:abstractNumId w:val="12"/>
  </w:num>
  <w:num w:numId="2" w16cid:durableId="2127500941">
    <w:abstractNumId w:val="7"/>
  </w:num>
  <w:num w:numId="3" w16cid:durableId="606622407">
    <w:abstractNumId w:val="0"/>
  </w:num>
  <w:num w:numId="4" w16cid:durableId="608587012">
    <w:abstractNumId w:val="11"/>
  </w:num>
  <w:num w:numId="5" w16cid:durableId="1314528442">
    <w:abstractNumId w:val="4"/>
  </w:num>
  <w:num w:numId="6" w16cid:durableId="143398337">
    <w:abstractNumId w:val="23"/>
  </w:num>
  <w:num w:numId="7" w16cid:durableId="1012609635">
    <w:abstractNumId w:val="2"/>
  </w:num>
  <w:num w:numId="8" w16cid:durableId="802041333">
    <w:abstractNumId w:val="13"/>
  </w:num>
  <w:num w:numId="9" w16cid:durableId="1013217151">
    <w:abstractNumId w:val="14"/>
  </w:num>
  <w:num w:numId="10" w16cid:durableId="1124231472">
    <w:abstractNumId w:val="6"/>
  </w:num>
  <w:num w:numId="11" w16cid:durableId="1893734847">
    <w:abstractNumId w:val="9"/>
  </w:num>
  <w:num w:numId="12" w16cid:durableId="581108937">
    <w:abstractNumId w:val="5"/>
  </w:num>
  <w:num w:numId="13" w16cid:durableId="2055038107">
    <w:abstractNumId w:val="15"/>
  </w:num>
  <w:num w:numId="14" w16cid:durableId="695472237">
    <w:abstractNumId w:val="17"/>
  </w:num>
  <w:num w:numId="15" w16cid:durableId="1063453078">
    <w:abstractNumId w:val="3"/>
  </w:num>
  <w:num w:numId="16" w16cid:durableId="199512226">
    <w:abstractNumId w:val="8"/>
  </w:num>
  <w:num w:numId="17" w16cid:durableId="1369530572">
    <w:abstractNumId w:val="21"/>
  </w:num>
  <w:num w:numId="18" w16cid:durableId="893665306">
    <w:abstractNumId w:val="1"/>
  </w:num>
  <w:num w:numId="19" w16cid:durableId="32459687">
    <w:abstractNumId w:val="19"/>
  </w:num>
  <w:num w:numId="20" w16cid:durableId="828979475">
    <w:abstractNumId w:val="10"/>
  </w:num>
  <w:num w:numId="21" w16cid:durableId="1149980553">
    <w:abstractNumId w:val="22"/>
  </w:num>
  <w:num w:numId="22" w16cid:durableId="1943754383">
    <w:abstractNumId w:val="20"/>
  </w:num>
  <w:num w:numId="23" w16cid:durableId="488523271">
    <w:abstractNumId w:val="16"/>
  </w:num>
  <w:num w:numId="24" w16cid:durableId="1526137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07546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E79"/>
    <w:rsid w:val="00005EDE"/>
    <w:rsid w:val="000067DC"/>
    <w:rsid w:val="000119AE"/>
    <w:rsid w:val="00011BA8"/>
    <w:rsid w:val="00012F34"/>
    <w:rsid w:val="000155DD"/>
    <w:rsid w:val="000158FE"/>
    <w:rsid w:val="00016FFE"/>
    <w:rsid w:val="0002022D"/>
    <w:rsid w:val="000208D9"/>
    <w:rsid w:val="0002797E"/>
    <w:rsid w:val="00033BE0"/>
    <w:rsid w:val="00033F80"/>
    <w:rsid w:val="00035B17"/>
    <w:rsid w:val="000413A7"/>
    <w:rsid w:val="00042BC6"/>
    <w:rsid w:val="00045CDB"/>
    <w:rsid w:val="0005104A"/>
    <w:rsid w:val="00052258"/>
    <w:rsid w:val="0005587D"/>
    <w:rsid w:val="00062609"/>
    <w:rsid w:val="000633FE"/>
    <w:rsid w:val="00064F0F"/>
    <w:rsid w:val="000671CD"/>
    <w:rsid w:val="00067DAF"/>
    <w:rsid w:val="0007091B"/>
    <w:rsid w:val="00081C8C"/>
    <w:rsid w:val="00081CAC"/>
    <w:rsid w:val="00083A26"/>
    <w:rsid w:val="000846BA"/>
    <w:rsid w:val="00085672"/>
    <w:rsid w:val="000926BE"/>
    <w:rsid w:val="00092ADC"/>
    <w:rsid w:val="00092E2C"/>
    <w:rsid w:val="00094920"/>
    <w:rsid w:val="000959F6"/>
    <w:rsid w:val="000969AD"/>
    <w:rsid w:val="000A030D"/>
    <w:rsid w:val="000A07A8"/>
    <w:rsid w:val="000A1387"/>
    <w:rsid w:val="000A5BE7"/>
    <w:rsid w:val="000A6E83"/>
    <w:rsid w:val="000B0068"/>
    <w:rsid w:val="000B0101"/>
    <w:rsid w:val="000B19D0"/>
    <w:rsid w:val="000B2A45"/>
    <w:rsid w:val="000B34C0"/>
    <w:rsid w:val="000B3C5F"/>
    <w:rsid w:val="000B5188"/>
    <w:rsid w:val="000B5E4D"/>
    <w:rsid w:val="000C00FF"/>
    <w:rsid w:val="000C1E6F"/>
    <w:rsid w:val="000C3590"/>
    <w:rsid w:val="000C36DA"/>
    <w:rsid w:val="000C3942"/>
    <w:rsid w:val="000D08F1"/>
    <w:rsid w:val="000D307B"/>
    <w:rsid w:val="000D58DB"/>
    <w:rsid w:val="000D6BC9"/>
    <w:rsid w:val="000D6C9F"/>
    <w:rsid w:val="000E0F69"/>
    <w:rsid w:val="000F0D03"/>
    <w:rsid w:val="000F0FE0"/>
    <w:rsid w:val="000F28ED"/>
    <w:rsid w:val="000F41D1"/>
    <w:rsid w:val="000F56A4"/>
    <w:rsid w:val="000F5D32"/>
    <w:rsid w:val="00101BAC"/>
    <w:rsid w:val="00102502"/>
    <w:rsid w:val="00102522"/>
    <w:rsid w:val="00102539"/>
    <w:rsid w:val="00102B7C"/>
    <w:rsid w:val="00104A67"/>
    <w:rsid w:val="00104E16"/>
    <w:rsid w:val="001075AC"/>
    <w:rsid w:val="00107F72"/>
    <w:rsid w:val="00115D43"/>
    <w:rsid w:val="00117C70"/>
    <w:rsid w:val="00121520"/>
    <w:rsid w:val="001338E6"/>
    <w:rsid w:val="001358FB"/>
    <w:rsid w:val="00135B66"/>
    <w:rsid w:val="00137F8D"/>
    <w:rsid w:val="0014009B"/>
    <w:rsid w:val="00145C27"/>
    <w:rsid w:val="00146229"/>
    <w:rsid w:val="00146683"/>
    <w:rsid w:val="00146AD8"/>
    <w:rsid w:val="00146D6D"/>
    <w:rsid w:val="00147B36"/>
    <w:rsid w:val="001504F9"/>
    <w:rsid w:val="00150ADB"/>
    <w:rsid w:val="00150C65"/>
    <w:rsid w:val="00151E52"/>
    <w:rsid w:val="00152826"/>
    <w:rsid w:val="001528D0"/>
    <w:rsid w:val="00155CDE"/>
    <w:rsid w:val="00156779"/>
    <w:rsid w:val="00157203"/>
    <w:rsid w:val="001579C1"/>
    <w:rsid w:val="00160E09"/>
    <w:rsid w:val="00161240"/>
    <w:rsid w:val="00161962"/>
    <w:rsid w:val="00167EBF"/>
    <w:rsid w:val="001708AF"/>
    <w:rsid w:val="00177FEA"/>
    <w:rsid w:val="00180281"/>
    <w:rsid w:val="00180420"/>
    <w:rsid w:val="001812DB"/>
    <w:rsid w:val="0018245F"/>
    <w:rsid w:val="001842D6"/>
    <w:rsid w:val="001844F3"/>
    <w:rsid w:val="00184FB8"/>
    <w:rsid w:val="00186589"/>
    <w:rsid w:val="00187A55"/>
    <w:rsid w:val="001939A0"/>
    <w:rsid w:val="001943C4"/>
    <w:rsid w:val="001950E3"/>
    <w:rsid w:val="001963AD"/>
    <w:rsid w:val="00197B36"/>
    <w:rsid w:val="001A0254"/>
    <w:rsid w:val="001A2B6B"/>
    <w:rsid w:val="001A30F4"/>
    <w:rsid w:val="001A478C"/>
    <w:rsid w:val="001A4C96"/>
    <w:rsid w:val="001B2AF0"/>
    <w:rsid w:val="001B2C05"/>
    <w:rsid w:val="001B3013"/>
    <w:rsid w:val="001B33C0"/>
    <w:rsid w:val="001C3677"/>
    <w:rsid w:val="001C3D1F"/>
    <w:rsid w:val="001C63B3"/>
    <w:rsid w:val="001C6E79"/>
    <w:rsid w:val="001D07F8"/>
    <w:rsid w:val="001D345F"/>
    <w:rsid w:val="001E040F"/>
    <w:rsid w:val="001E0E8A"/>
    <w:rsid w:val="001E20CD"/>
    <w:rsid w:val="001E6915"/>
    <w:rsid w:val="001F09B4"/>
    <w:rsid w:val="001F09CD"/>
    <w:rsid w:val="001F1F58"/>
    <w:rsid w:val="001F3D41"/>
    <w:rsid w:val="001F7F1A"/>
    <w:rsid w:val="00202680"/>
    <w:rsid w:val="002029BD"/>
    <w:rsid w:val="002056F9"/>
    <w:rsid w:val="00207550"/>
    <w:rsid w:val="0020780A"/>
    <w:rsid w:val="0020795B"/>
    <w:rsid w:val="00211379"/>
    <w:rsid w:val="002166FE"/>
    <w:rsid w:val="00224A18"/>
    <w:rsid w:val="0022613C"/>
    <w:rsid w:val="002317C9"/>
    <w:rsid w:val="002349BE"/>
    <w:rsid w:val="00236D55"/>
    <w:rsid w:val="00236E1B"/>
    <w:rsid w:val="00237976"/>
    <w:rsid w:val="00240A99"/>
    <w:rsid w:val="00241696"/>
    <w:rsid w:val="00244910"/>
    <w:rsid w:val="0024578D"/>
    <w:rsid w:val="00246084"/>
    <w:rsid w:val="00247D76"/>
    <w:rsid w:val="00251AF1"/>
    <w:rsid w:val="00252E10"/>
    <w:rsid w:val="00254B58"/>
    <w:rsid w:val="002562EC"/>
    <w:rsid w:val="0025706E"/>
    <w:rsid w:val="00257624"/>
    <w:rsid w:val="002602A3"/>
    <w:rsid w:val="00261EC7"/>
    <w:rsid w:val="0026385D"/>
    <w:rsid w:val="00264DFF"/>
    <w:rsid w:val="002662C6"/>
    <w:rsid w:val="002669A3"/>
    <w:rsid w:val="00266BA3"/>
    <w:rsid w:val="002671D8"/>
    <w:rsid w:val="00270585"/>
    <w:rsid w:val="00274064"/>
    <w:rsid w:val="0027605B"/>
    <w:rsid w:val="00280FD9"/>
    <w:rsid w:val="002815DC"/>
    <w:rsid w:val="00282656"/>
    <w:rsid w:val="00282928"/>
    <w:rsid w:val="0028318A"/>
    <w:rsid w:val="0028430B"/>
    <w:rsid w:val="002870F3"/>
    <w:rsid w:val="002905C9"/>
    <w:rsid w:val="002926FB"/>
    <w:rsid w:val="0029429E"/>
    <w:rsid w:val="00294818"/>
    <w:rsid w:val="00297928"/>
    <w:rsid w:val="002A10A8"/>
    <w:rsid w:val="002A1FF2"/>
    <w:rsid w:val="002A276F"/>
    <w:rsid w:val="002A3260"/>
    <w:rsid w:val="002A441A"/>
    <w:rsid w:val="002A566C"/>
    <w:rsid w:val="002A70B8"/>
    <w:rsid w:val="002A788E"/>
    <w:rsid w:val="002B1216"/>
    <w:rsid w:val="002B22EF"/>
    <w:rsid w:val="002B2F9B"/>
    <w:rsid w:val="002B442C"/>
    <w:rsid w:val="002B48FD"/>
    <w:rsid w:val="002B5400"/>
    <w:rsid w:val="002B745B"/>
    <w:rsid w:val="002C4A3E"/>
    <w:rsid w:val="002C52F8"/>
    <w:rsid w:val="002C541A"/>
    <w:rsid w:val="002C737D"/>
    <w:rsid w:val="002D0111"/>
    <w:rsid w:val="002D2A17"/>
    <w:rsid w:val="002E0A7E"/>
    <w:rsid w:val="002E1E86"/>
    <w:rsid w:val="002E3801"/>
    <w:rsid w:val="002E4D1C"/>
    <w:rsid w:val="002E61F9"/>
    <w:rsid w:val="002E6EDC"/>
    <w:rsid w:val="002E77D6"/>
    <w:rsid w:val="002F0364"/>
    <w:rsid w:val="002F0771"/>
    <w:rsid w:val="002F0B0A"/>
    <w:rsid w:val="002F3789"/>
    <w:rsid w:val="002F7A7B"/>
    <w:rsid w:val="00301DB6"/>
    <w:rsid w:val="00304FA1"/>
    <w:rsid w:val="0030790F"/>
    <w:rsid w:val="00310728"/>
    <w:rsid w:val="00310F9B"/>
    <w:rsid w:val="0031270F"/>
    <w:rsid w:val="00313AC0"/>
    <w:rsid w:val="00314013"/>
    <w:rsid w:val="003204EB"/>
    <w:rsid w:val="003208B2"/>
    <w:rsid w:val="00322E91"/>
    <w:rsid w:val="003242BC"/>
    <w:rsid w:val="003268AF"/>
    <w:rsid w:val="003301CF"/>
    <w:rsid w:val="00331456"/>
    <w:rsid w:val="00331D8B"/>
    <w:rsid w:val="00332907"/>
    <w:rsid w:val="003333D9"/>
    <w:rsid w:val="00333E40"/>
    <w:rsid w:val="0033573C"/>
    <w:rsid w:val="00337C5C"/>
    <w:rsid w:val="00342550"/>
    <w:rsid w:val="003425DA"/>
    <w:rsid w:val="00342B01"/>
    <w:rsid w:val="00343084"/>
    <w:rsid w:val="00343CB8"/>
    <w:rsid w:val="003461BA"/>
    <w:rsid w:val="003512ED"/>
    <w:rsid w:val="00355C7D"/>
    <w:rsid w:val="00373260"/>
    <w:rsid w:val="003739BD"/>
    <w:rsid w:val="0037636C"/>
    <w:rsid w:val="00376B5F"/>
    <w:rsid w:val="00377BCF"/>
    <w:rsid w:val="00380D0C"/>
    <w:rsid w:val="00383B44"/>
    <w:rsid w:val="00383ED4"/>
    <w:rsid w:val="00383F74"/>
    <w:rsid w:val="0038563B"/>
    <w:rsid w:val="0038581E"/>
    <w:rsid w:val="00386E31"/>
    <w:rsid w:val="0038729F"/>
    <w:rsid w:val="00387E67"/>
    <w:rsid w:val="00390985"/>
    <w:rsid w:val="00392113"/>
    <w:rsid w:val="003946E5"/>
    <w:rsid w:val="0039487B"/>
    <w:rsid w:val="00394C79"/>
    <w:rsid w:val="0039583D"/>
    <w:rsid w:val="003A06F8"/>
    <w:rsid w:val="003A30BF"/>
    <w:rsid w:val="003A53D2"/>
    <w:rsid w:val="003A6B98"/>
    <w:rsid w:val="003A739D"/>
    <w:rsid w:val="003B0623"/>
    <w:rsid w:val="003B0C61"/>
    <w:rsid w:val="003B17FD"/>
    <w:rsid w:val="003B4698"/>
    <w:rsid w:val="003C0155"/>
    <w:rsid w:val="003C0CB9"/>
    <w:rsid w:val="003C37B8"/>
    <w:rsid w:val="003C5086"/>
    <w:rsid w:val="003C5094"/>
    <w:rsid w:val="003C6460"/>
    <w:rsid w:val="003C6E35"/>
    <w:rsid w:val="003D00CA"/>
    <w:rsid w:val="003D0A8A"/>
    <w:rsid w:val="003D1192"/>
    <w:rsid w:val="003D1CDF"/>
    <w:rsid w:val="003D21F3"/>
    <w:rsid w:val="003D267C"/>
    <w:rsid w:val="003D2F4C"/>
    <w:rsid w:val="003D45E1"/>
    <w:rsid w:val="003D502D"/>
    <w:rsid w:val="003D6A89"/>
    <w:rsid w:val="003E0586"/>
    <w:rsid w:val="003E1677"/>
    <w:rsid w:val="003E6A44"/>
    <w:rsid w:val="003E7797"/>
    <w:rsid w:val="003F0845"/>
    <w:rsid w:val="003F271A"/>
    <w:rsid w:val="003F2722"/>
    <w:rsid w:val="003F2ADF"/>
    <w:rsid w:val="003F3D1A"/>
    <w:rsid w:val="003F49A7"/>
    <w:rsid w:val="003F54B3"/>
    <w:rsid w:val="003F7466"/>
    <w:rsid w:val="004001AC"/>
    <w:rsid w:val="00401FF1"/>
    <w:rsid w:val="004021A7"/>
    <w:rsid w:val="00402776"/>
    <w:rsid w:val="00402D7A"/>
    <w:rsid w:val="00404EF4"/>
    <w:rsid w:val="00405C0C"/>
    <w:rsid w:val="0040704B"/>
    <w:rsid w:val="004073F2"/>
    <w:rsid w:val="00407E79"/>
    <w:rsid w:val="00413190"/>
    <w:rsid w:val="004159F6"/>
    <w:rsid w:val="00415CE6"/>
    <w:rsid w:val="004166D1"/>
    <w:rsid w:val="00420946"/>
    <w:rsid w:val="00420A59"/>
    <w:rsid w:val="004211AA"/>
    <w:rsid w:val="004243E3"/>
    <w:rsid w:val="004261CB"/>
    <w:rsid w:val="00427BB9"/>
    <w:rsid w:val="0043052B"/>
    <w:rsid w:val="0043076D"/>
    <w:rsid w:val="00430FCA"/>
    <w:rsid w:val="00431435"/>
    <w:rsid w:val="004314CA"/>
    <w:rsid w:val="004314EA"/>
    <w:rsid w:val="00434744"/>
    <w:rsid w:val="00435130"/>
    <w:rsid w:val="004408DD"/>
    <w:rsid w:val="004424B4"/>
    <w:rsid w:val="004429F3"/>
    <w:rsid w:val="004432AF"/>
    <w:rsid w:val="004442AA"/>
    <w:rsid w:val="0044617C"/>
    <w:rsid w:val="00447183"/>
    <w:rsid w:val="00451CA5"/>
    <w:rsid w:val="00451F67"/>
    <w:rsid w:val="0045646A"/>
    <w:rsid w:val="00457016"/>
    <w:rsid w:val="004577FE"/>
    <w:rsid w:val="004600EA"/>
    <w:rsid w:val="00462384"/>
    <w:rsid w:val="004640F0"/>
    <w:rsid w:val="00464364"/>
    <w:rsid w:val="0046481F"/>
    <w:rsid w:val="004656BD"/>
    <w:rsid w:val="00465800"/>
    <w:rsid w:val="004668B9"/>
    <w:rsid w:val="004678E1"/>
    <w:rsid w:val="0047072E"/>
    <w:rsid w:val="00473E48"/>
    <w:rsid w:val="0047738B"/>
    <w:rsid w:val="00477B2F"/>
    <w:rsid w:val="0048009F"/>
    <w:rsid w:val="004864FB"/>
    <w:rsid w:val="00487965"/>
    <w:rsid w:val="00487D9F"/>
    <w:rsid w:val="004948B3"/>
    <w:rsid w:val="00495019"/>
    <w:rsid w:val="00495F2A"/>
    <w:rsid w:val="004975C3"/>
    <w:rsid w:val="004A1CBB"/>
    <w:rsid w:val="004A4D20"/>
    <w:rsid w:val="004A75E7"/>
    <w:rsid w:val="004A76C8"/>
    <w:rsid w:val="004B2D4D"/>
    <w:rsid w:val="004B32F9"/>
    <w:rsid w:val="004B4293"/>
    <w:rsid w:val="004C32D7"/>
    <w:rsid w:val="004C5BBE"/>
    <w:rsid w:val="004C726A"/>
    <w:rsid w:val="004C77C3"/>
    <w:rsid w:val="004C7FA3"/>
    <w:rsid w:val="004D1A95"/>
    <w:rsid w:val="004D206C"/>
    <w:rsid w:val="004D532E"/>
    <w:rsid w:val="004D6024"/>
    <w:rsid w:val="004D70C6"/>
    <w:rsid w:val="004D7205"/>
    <w:rsid w:val="004E1CFE"/>
    <w:rsid w:val="004E3179"/>
    <w:rsid w:val="004E3BC0"/>
    <w:rsid w:val="004E4185"/>
    <w:rsid w:val="004E4774"/>
    <w:rsid w:val="004E7934"/>
    <w:rsid w:val="004F0E8A"/>
    <w:rsid w:val="004F1468"/>
    <w:rsid w:val="004F32C6"/>
    <w:rsid w:val="004F5105"/>
    <w:rsid w:val="004F7C3A"/>
    <w:rsid w:val="004F7E92"/>
    <w:rsid w:val="00500F8F"/>
    <w:rsid w:val="005021D5"/>
    <w:rsid w:val="005055FA"/>
    <w:rsid w:val="00507A67"/>
    <w:rsid w:val="00507E1B"/>
    <w:rsid w:val="005118EA"/>
    <w:rsid w:val="005144DE"/>
    <w:rsid w:val="00514636"/>
    <w:rsid w:val="00516E88"/>
    <w:rsid w:val="00520D2B"/>
    <w:rsid w:val="00521B03"/>
    <w:rsid w:val="0052491E"/>
    <w:rsid w:val="00524E73"/>
    <w:rsid w:val="00526687"/>
    <w:rsid w:val="00527492"/>
    <w:rsid w:val="00527D87"/>
    <w:rsid w:val="005302DE"/>
    <w:rsid w:val="00531761"/>
    <w:rsid w:val="00532112"/>
    <w:rsid w:val="00537E5B"/>
    <w:rsid w:val="00540BD5"/>
    <w:rsid w:val="00541E5F"/>
    <w:rsid w:val="00542ABF"/>
    <w:rsid w:val="005434F4"/>
    <w:rsid w:val="00546B15"/>
    <w:rsid w:val="00550E45"/>
    <w:rsid w:val="00551DE9"/>
    <w:rsid w:val="0055280C"/>
    <w:rsid w:val="00552C44"/>
    <w:rsid w:val="005534A7"/>
    <w:rsid w:val="00555BB4"/>
    <w:rsid w:val="00561E53"/>
    <w:rsid w:val="00564890"/>
    <w:rsid w:val="00564D59"/>
    <w:rsid w:val="00566D31"/>
    <w:rsid w:val="00567D1E"/>
    <w:rsid w:val="005712CF"/>
    <w:rsid w:val="0057170A"/>
    <w:rsid w:val="00573164"/>
    <w:rsid w:val="00583025"/>
    <w:rsid w:val="0058319A"/>
    <w:rsid w:val="005839DF"/>
    <w:rsid w:val="00583DA9"/>
    <w:rsid w:val="005840EA"/>
    <w:rsid w:val="005852FC"/>
    <w:rsid w:val="00592A57"/>
    <w:rsid w:val="00594EB6"/>
    <w:rsid w:val="00595BFE"/>
    <w:rsid w:val="00596791"/>
    <w:rsid w:val="0059795F"/>
    <w:rsid w:val="00597F82"/>
    <w:rsid w:val="005A12F4"/>
    <w:rsid w:val="005A2DFD"/>
    <w:rsid w:val="005A4766"/>
    <w:rsid w:val="005A50E0"/>
    <w:rsid w:val="005A7066"/>
    <w:rsid w:val="005A7245"/>
    <w:rsid w:val="005A7CE0"/>
    <w:rsid w:val="005B1363"/>
    <w:rsid w:val="005B3025"/>
    <w:rsid w:val="005B3F22"/>
    <w:rsid w:val="005B44B8"/>
    <w:rsid w:val="005B6D8E"/>
    <w:rsid w:val="005B7FE3"/>
    <w:rsid w:val="005C0167"/>
    <w:rsid w:val="005C3D2F"/>
    <w:rsid w:val="005C5C5D"/>
    <w:rsid w:val="005C7421"/>
    <w:rsid w:val="005D011B"/>
    <w:rsid w:val="005D042F"/>
    <w:rsid w:val="005D1515"/>
    <w:rsid w:val="005D25A6"/>
    <w:rsid w:val="005D3804"/>
    <w:rsid w:val="005D3977"/>
    <w:rsid w:val="005D435D"/>
    <w:rsid w:val="005D752B"/>
    <w:rsid w:val="005D7D3C"/>
    <w:rsid w:val="005E0376"/>
    <w:rsid w:val="005E2914"/>
    <w:rsid w:val="005E6683"/>
    <w:rsid w:val="005F0F75"/>
    <w:rsid w:val="005F2FEE"/>
    <w:rsid w:val="005F321A"/>
    <w:rsid w:val="005F437E"/>
    <w:rsid w:val="005F4529"/>
    <w:rsid w:val="005F4AB5"/>
    <w:rsid w:val="00600C3D"/>
    <w:rsid w:val="00600C58"/>
    <w:rsid w:val="00602503"/>
    <w:rsid w:val="006052DA"/>
    <w:rsid w:val="00605300"/>
    <w:rsid w:val="00605B3C"/>
    <w:rsid w:val="00610306"/>
    <w:rsid w:val="006105AB"/>
    <w:rsid w:val="00610651"/>
    <w:rsid w:val="00616647"/>
    <w:rsid w:val="00616B11"/>
    <w:rsid w:val="00625158"/>
    <w:rsid w:val="00625D60"/>
    <w:rsid w:val="006267E2"/>
    <w:rsid w:val="006279C4"/>
    <w:rsid w:val="006345BF"/>
    <w:rsid w:val="00634A44"/>
    <w:rsid w:val="00635B03"/>
    <w:rsid w:val="0063716B"/>
    <w:rsid w:val="0063744A"/>
    <w:rsid w:val="00637B91"/>
    <w:rsid w:val="00637E08"/>
    <w:rsid w:val="00641F97"/>
    <w:rsid w:val="006428B4"/>
    <w:rsid w:val="0064424B"/>
    <w:rsid w:val="00646D9D"/>
    <w:rsid w:val="006474C8"/>
    <w:rsid w:val="006520AC"/>
    <w:rsid w:val="00654BF6"/>
    <w:rsid w:val="0065651D"/>
    <w:rsid w:val="00657EA4"/>
    <w:rsid w:val="00660BEA"/>
    <w:rsid w:val="00661189"/>
    <w:rsid w:val="00662386"/>
    <w:rsid w:val="006624BB"/>
    <w:rsid w:val="0066384D"/>
    <w:rsid w:val="00665CD5"/>
    <w:rsid w:val="0067025D"/>
    <w:rsid w:val="0067109E"/>
    <w:rsid w:val="00672E79"/>
    <w:rsid w:val="00673F1E"/>
    <w:rsid w:val="00674C21"/>
    <w:rsid w:val="006761F1"/>
    <w:rsid w:val="00676637"/>
    <w:rsid w:val="00676FC7"/>
    <w:rsid w:val="006812EB"/>
    <w:rsid w:val="00682712"/>
    <w:rsid w:val="00682ACF"/>
    <w:rsid w:val="0068336A"/>
    <w:rsid w:val="00684B3E"/>
    <w:rsid w:val="00686AD2"/>
    <w:rsid w:val="006904B3"/>
    <w:rsid w:val="0069125B"/>
    <w:rsid w:val="00691F29"/>
    <w:rsid w:val="0069230D"/>
    <w:rsid w:val="00692E79"/>
    <w:rsid w:val="00694DFE"/>
    <w:rsid w:val="00696636"/>
    <w:rsid w:val="0069757F"/>
    <w:rsid w:val="006A0EAE"/>
    <w:rsid w:val="006A2AED"/>
    <w:rsid w:val="006A576E"/>
    <w:rsid w:val="006A5C23"/>
    <w:rsid w:val="006B15C2"/>
    <w:rsid w:val="006B5129"/>
    <w:rsid w:val="006B58DD"/>
    <w:rsid w:val="006C0B8A"/>
    <w:rsid w:val="006C65CA"/>
    <w:rsid w:val="006C7C44"/>
    <w:rsid w:val="006D067C"/>
    <w:rsid w:val="006D0D79"/>
    <w:rsid w:val="006D2368"/>
    <w:rsid w:val="006D23A2"/>
    <w:rsid w:val="006D301A"/>
    <w:rsid w:val="006D3C75"/>
    <w:rsid w:val="006D3F63"/>
    <w:rsid w:val="006D4FB7"/>
    <w:rsid w:val="006D6B5F"/>
    <w:rsid w:val="006E0070"/>
    <w:rsid w:val="006E1F0E"/>
    <w:rsid w:val="006E73CB"/>
    <w:rsid w:val="006E7475"/>
    <w:rsid w:val="006F16A1"/>
    <w:rsid w:val="006F1BCC"/>
    <w:rsid w:val="006F5EF2"/>
    <w:rsid w:val="006F74B3"/>
    <w:rsid w:val="00700553"/>
    <w:rsid w:val="00701CC6"/>
    <w:rsid w:val="007027D2"/>
    <w:rsid w:val="0070558F"/>
    <w:rsid w:val="00712106"/>
    <w:rsid w:val="00714090"/>
    <w:rsid w:val="007169F2"/>
    <w:rsid w:val="00717549"/>
    <w:rsid w:val="00717C66"/>
    <w:rsid w:val="007203C6"/>
    <w:rsid w:val="0072174B"/>
    <w:rsid w:val="00723950"/>
    <w:rsid w:val="00724AE1"/>
    <w:rsid w:val="0073413A"/>
    <w:rsid w:val="00737AFE"/>
    <w:rsid w:val="00742D58"/>
    <w:rsid w:val="00743672"/>
    <w:rsid w:val="00744255"/>
    <w:rsid w:val="007442D8"/>
    <w:rsid w:val="00744859"/>
    <w:rsid w:val="00751329"/>
    <w:rsid w:val="00751BFE"/>
    <w:rsid w:val="00752B96"/>
    <w:rsid w:val="007534B3"/>
    <w:rsid w:val="00757941"/>
    <w:rsid w:val="00761C30"/>
    <w:rsid w:val="007622E7"/>
    <w:rsid w:val="007662B3"/>
    <w:rsid w:val="0076789F"/>
    <w:rsid w:val="00772931"/>
    <w:rsid w:val="00773566"/>
    <w:rsid w:val="007737C0"/>
    <w:rsid w:val="00773872"/>
    <w:rsid w:val="00774CE5"/>
    <w:rsid w:val="00774E20"/>
    <w:rsid w:val="00780851"/>
    <w:rsid w:val="007808BB"/>
    <w:rsid w:val="007830CA"/>
    <w:rsid w:val="00784D81"/>
    <w:rsid w:val="00791BB0"/>
    <w:rsid w:val="00795A64"/>
    <w:rsid w:val="00795BD4"/>
    <w:rsid w:val="00796360"/>
    <w:rsid w:val="007A08AC"/>
    <w:rsid w:val="007A53D3"/>
    <w:rsid w:val="007A5690"/>
    <w:rsid w:val="007A761E"/>
    <w:rsid w:val="007B0673"/>
    <w:rsid w:val="007B0A0B"/>
    <w:rsid w:val="007B0A1A"/>
    <w:rsid w:val="007B3FD3"/>
    <w:rsid w:val="007B5B2A"/>
    <w:rsid w:val="007B603B"/>
    <w:rsid w:val="007B73A8"/>
    <w:rsid w:val="007B7824"/>
    <w:rsid w:val="007C5495"/>
    <w:rsid w:val="007C5C24"/>
    <w:rsid w:val="007C6203"/>
    <w:rsid w:val="007D0323"/>
    <w:rsid w:val="007D04D1"/>
    <w:rsid w:val="007D480E"/>
    <w:rsid w:val="007D61BF"/>
    <w:rsid w:val="007E00D2"/>
    <w:rsid w:val="007E0138"/>
    <w:rsid w:val="007E4B48"/>
    <w:rsid w:val="007E5784"/>
    <w:rsid w:val="007E586B"/>
    <w:rsid w:val="007E6E90"/>
    <w:rsid w:val="007F1CB3"/>
    <w:rsid w:val="007F2E07"/>
    <w:rsid w:val="007F3B17"/>
    <w:rsid w:val="00800EE8"/>
    <w:rsid w:val="00800F70"/>
    <w:rsid w:val="00801325"/>
    <w:rsid w:val="00806006"/>
    <w:rsid w:val="00810BFE"/>
    <w:rsid w:val="00810EAF"/>
    <w:rsid w:val="00811233"/>
    <w:rsid w:val="00811DD5"/>
    <w:rsid w:val="00812133"/>
    <w:rsid w:val="00814043"/>
    <w:rsid w:val="008165E1"/>
    <w:rsid w:val="00817D16"/>
    <w:rsid w:val="0082128C"/>
    <w:rsid w:val="008219C3"/>
    <w:rsid w:val="008258EB"/>
    <w:rsid w:val="00827DFE"/>
    <w:rsid w:val="00830438"/>
    <w:rsid w:val="00832224"/>
    <w:rsid w:val="0083312E"/>
    <w:rsid w:val="0083494A"/>
    <w:rsid w:val="00837624"/>
    <w:rsid w:val="00837666"/>
    <w:rsid w:val="0084297C"/>
    <w:rsid w:val="00843187"/>
    <w:rsid w:val="0084751A"/>
    <w:rsid w:val="00847622"/>
    <w:rsid w:val="0084793D"/>
    <w:rsid w:val="00850E1D"/>
    <w:rsid w:val="00851D3A"/>
    <w:rsid w:val="00855E1D"/>
    <w:rsid w:val="008566FD"/>
    <w:rsid w:val="0086039A"/>
    <w:rsid w:val="00860AD7"/>
    <w:rsid w:val="008634B8"/>
    <w:rsid w:val="00864340"/>
    <w:rsid w:val="00864AE2"/>
    <w:rsid w:val="0086534C"/>
    <w:rsid w:val="00865B58"/>
    <w:rsid w:val="00870798"/>
    <w:rsid w:val="00875298"/>
    <w:rsid w:val="00875791"/>
    <w:rsid w:val="008758D2"/>
    <w:rsid w:val="00881700"/>
    <w:rsid w:val="00884B6C"/>
    <w:rsid w:val="00892356"/>
    <w:rsid w:val="00893A13"/>
    <w:rsid w:val="00894E48"/>
    <w:rsid w:val="008954C2"/>
    <w:rsid w:val="008A0375"/>
    <w:rsid w:val="008A041C"/>
    <w:rsid w:val="008A1D8E"/>
    <w:rsid w:val="008A2B25"/>
    <w:rsid w:val="008A2B6D"/>
    <w:rsid w:val="008A52F5"/>
    <w:rsid w:val="008A6AF8"/>
    <w:rsid w:val="008A6ECF"/>
    <w:rsid w:val="008A765C"/>
    <w:rsid w:val="008A7CA8"/>
    <w:rsid w:val="008A7CD7"/>
    <w:rsid w:val="008B1431"/>
    <w:rsid w:val="008B1735"/>
    <w:rsid w:val="008B4805"/>
    <w:rsid w:val="008B5219"/>
    <w:rsid w:val="008B5CAC"/>
    <w:rsid w:val="008C3DAA"/>
    <w:rsid w:val="008C49E6"/>
    <w:rsid w:val="008C4C4E"/>
    <w:rsid w:val="008C5623"/>
    <w:rsid w:val="008C7860"/>
    <w:rsid w:val="008D0442"/>
    <w:rsid w:val="008D0FC9"/>
    <w:rsid w:val="008D29F0"/>
    <w:rsid w:val="008D3C7E"/>
    <w:rsid w:val="008D4D4D"/>
    <w:rsid w:val="008D4E19"/>
    <w:rsid w:val="008D57F9"/>
    <w:rsid w:val="008D5C53"/>
    <w:rsid w:val="008D73E8"/>
    <w:rsid w:val="008D7759"/>
    <w:rsid w:val="008E1096"/>
    <w:rsid w:val="008E6752"/>
    <w:rsid w:val="008F0737"/>
    <w:rsid w:val="008F1CB0"/>
    <w:rsid w:val="008F224B"/>
    <w:rsid w:val="008F26C2"/>
    <w:rsid w:val="008F5C03"/>
    <w:rsid w:val="0090217E"/>
    <w:rsid w:val="00902419"/>
    <w:rsid w:val="009025D4"/>
    <w:rsid w:val="009026EF"/>
    <w:rsid w:val="00906BC0"/>
    <w:rsid w:val="00914B11"/>
    <w:rsid w:val="00915F1B"/>
    <w:rsid w:val="00916A03"/>
    <w:rsid w:val="00916F5B"/>
    <w:rsid w:val="00920CB0"/>
    <w:rsid w:val="00923948"/>
    <w:rsid w:val="0092548C"/>
    <w:rsid w:val="00925B74"/>
    <w:rsid w:val="00927972"/>
    <w:rsid w:val="00927BA4"/>
    <w:rsid w:val="00930E1B"/>
    <w:rsid w:val="0093290B"/>
    <w:rsid w:val="00933F87"/>
    <w:rsid w:val="009355EE"/>
    <w:rsid w:val="00936271"/>
    <w:rsid w:val="0093630B"/>
    <w:rsid w:val="00937A96"/>
    <w:rsid w:val="00942235"/>
    <w:rsid w:val="00942E94"/>
    <w:rsid w:val="00943AE1"/>
    <w:rsid w:val="009443FC"/>
    <w:rsid w:val="00945A6C"/>
    <w:rsid w:val="00945D49"/>
    <w:rsid w:val="0095351F"/>
    <w:rsid w:val="00954F73"/>
    <w:rsid w:val="00955ABF"/>
    <w:rsid w:val="00960115"/>
    <w:rsid w:val="00960297"/>
    <w:rsid w:val="0096264B"/>
    <w:rsid w:val="009671BF"/>
    <w:rsid w:val="00967EC7"/>
    <w:rsid w:val="00970AD7"/>
    <w:rsid w:val="00973F36"/>
    <w:rsid w:val="009741ED"/>
    <w:rsid w:val="009745E3"/>
    <w:rsid w:val="009760BC"/>
    <w:rsid w:val="009775D2"/>
    <w:rsid w:val="00982411"/>
    <w:rsid w:val="00985046"/>
    <w:rsid w:val="00987C07"/>
    <w:rsid w:val="00990E1F"/>
    <w:rsid w:val="00992803"/>
    <w:rsid w:val="009930E6"/>
    <w:rsid w:val="00994796"/>
    <w:rsid w:val="009956EA"/>
    <w:rsid w:val="00995EF6"/>
    <w:rsid w:val="009A17A3"/>
    <w:rsid w:val="009A1A77"/>
    <w:rsid w:val="009A1F1D"/>
    <w:rsid w:val="009A7EEB"/>
    <w:rsid w:val="009B0F2C"/>
    <w:rsid w:val="009B68E4"/>
    <w:rsid w:val="009B7D73"/>
    <w:rsid w:val="009C2375"/>
    <w:rsid w:val="009C64C0"/>
    <w:rsid w:val="009C7AED"/>
    <w:rsid w:val="009D0749"/>
    <w:rsid w:val="009D0DEF"/>
    <w:rsid w:val="009D1738"/>
    <w:rsid w:val="009D4D4E"/>
    <w:rsid w:val="009D64FD"/>
    <w:rsid w:val="009E3694"/>
    <w:rsid w:val="009E4CF0"/>
    <w:rsid w:val="009E64A0"/>
    <w:rsid w:val="009E6F27"/>
    <w:rsid w:val="009E73B6"/>
    <w:rsid w:val="009E7440"/>
    <w:rsid w:val="009F08A7"/>
    <w:rsid w:val="009F19AD"/>
    <w:rsid w:val="009F1B85"/>
    <w:rsid w:val="009F2371"/>
    <w:rsid w:val="009F5298"/>
    <w:rsid w:val="00A01224"/>
    <w:rsid w:val="00A01D8D"/>
    <w:rsid w:val="00A04CB9"/>
    <w:rsid w:val="00A058B9"/>
    <w:rsid w:val="00A061BF"/>
    <w:rsid w:val="00A06B3E"/>
    <w:rsid w:val="00A07811"/>
    <w:rsid w:val="00A108A4"/>
    <w:rsid w:val="00A1266B"/>
    <w:rsid w:val="00A12971"/>
    <w:rsid w:val="00A140A9"/>
    <w:rsid w:val="00A158EA"/>
    <w:rsid w:val="00A15C97"/>
    <w:rsid w:val="00A16C18"/>
    <w:rsid w:val="00A1707A"/>
    <w:rsid w:val="00A22E9E"/>
    <w:rsid w:val="00A24248"/>
    <w:rsid w:val="00A2491F"/>
    <w:rsid w:val="00A27932"/>
    <w:rsid w:val="00A27C0E"/>
    <w:rsid w:val="00A3059D"/>
    <w:rsid w:val="00A3117F"/>
    <w:rsid w:val="00A31491"/>
    <w:rsid w:val="00A31A31"/>
    <w:rsid w:val="00A32AEE"/>
    <w:rsid w:val="00A34DD5"/>
    <w:rsid w:val="00A3655B"/>
    <w:rsid w:val="00A36A14"/>
    <w:rsid w:val="00A36BC6"/>
    <w:rsid w:val="00A36FD7"/>
    <w:rsid w:val="00A43CB5"/>
    <w:rsid w:val="00A46661"/>
    <w:rsid w:val="00A478F5"/>
    <w:rsid w:val="00A5101A"/>
    <w:rsid w:val="00A52683"/>
    <w:rsid w:val="00A528CC"/>
    <w:rsid w:val="00A53FA6"/>
    <w:rsid w:val="00A61456"/>
    <w:rsid w:val="00A61835"/>
    <w:rsid w:val="00A63DB6"/>
    <w:rsid w:val="00A6594F"/>
    <w:rsid w:val="00A67D11"/>
    <w:rsid w:val="00A74E2E"/>
    <w:rsid w:val="00A765BA"/>
    <w:rsid w:val="00A804A7"/>
    <w:rsid w:val="00A82ED2"/>
    <w:rsid w:val="00A83252"/>
    <w:rsid w:val="00A842BA"/>
    <w:rsid w:val="00A84D43"/>
    <w:rsid w:val="00A862A9"/>
    <w:rsid w:val="00A86F13"/>
    <w:rsid w:val="00A87FB8"/>
    <w:rsid w:val="00A90DCB"/>
    <w:rsid w:val="00A92A1E"/>
    <w:rsid w:val="00A97133"/>
    <w:rsid w:val="00AA1353"/>
    <w:rsid w:val="00AA20C3"/>
    <w:rsid w:val="00AA39FA"/>
    <w:rsid w:val="00AA4EB0"/>
    <w:rsid w:val="00AA5582"/>
    <w:rsid w:val="00AB08E1"/>
    <w:rsid w:val="00AB2D41"/>
    <w:rsid w:val="00AB3647"/>
    <w:rsid w:val="00AB3AC8"/>
    <w:rsid w:val="00AB6220"/>
    <w:rsid w:val="00AB7245"/>
    <w:rsid w:val="00AC0413"/>
    <w:rsid w:val="00AC2F6C"/>
    <w:rsid w:val="00AC36DD"/>
    <w:rsid w:val="00AC5516"/>
    <w:rsid w:val="00AC7DD1"/>
    <w:rsid w:val="00AD32CD"/>
    <w:rsid w:val="00AD3F7B"/>
    <w:rsid w:val="00AD6445"/>
    <w:rsid w:val="00AD6A71"/>
    <w:rsid w:val="00AD7E1B"/>
    <w:rsid w:val="00AE0914"/>
    <w:rsid w:val="00AE18CC"/>
    <w:rsid w:val="00AE270B"/>
    <w:rsid w:val="00AE3C58"/>
    <w:rsid w:val="00AE3E7B"/>
    <w:rsid w:val="00AE7EF6"/>
    <w:rsid w:val="00AF0021"/>
    <w:rsid w:val="00AF0830"/>
    <w:rsid w:val="00AF38A0"/>
    <w:rsid w:val="00AF4F5D"/>
    <w:rsid w:val="00AF6222"/>
    <w:rsid w:val="00B06840"/>
    <w:rsid w:val="00B06E50"/>
    <w:rsid w:val="00B070E2"/>
    <w:rsid w:val="00B0786D"/>
    <w:rsid w:val="00B07E56"/>
    <w:rsid w:val="00B12909"/>
    <w:rsid w:val="00B150B9"/>
    <w:rsid w:val="00B165C9"/>
    <w:rsid w:val="00B1710E"/>
    <w:rsid w:val="00B2264A"/>
    <w:rsid w:val="00B22958"/>
    <w:rsid w:val="00B242AE"/>
    <w:rsid w:val="00B30476"/>
    <w:rsid w:val="00B3057A"/>
    <w:rsid w:val="00B30EFA"/>
    <w:rsid w:val="00B344D7"/>
    <w:rsid w:val="00B34BD6"/>
    <w:rsid w:val="00B3746E"/>
    <w:rsid w:val="00B42291"/>
    <w:rsid w:val="00B43240"/>
    <w:rsid w:val="00B453CB"/>
    <w:rsid w:val="00B46C15"/>
    <w:rsid w:val="00B5171E"/>
    <w:rsid w:val="00B52254"/>
    <w:rsid w:val="00B54072"/>
    <w:rsid w:val="00B55FCA"/>
    <w:rsid w:val="00B57B51"/>
    <w:rsid w:val="00B6051B"/>
    <w:rsid w:val="00B61589"/>
    <w:rsid w:val="00B64711"/>
    <w:rsid w:val="00B65AE3"/>
    <w:rsid w:val="00B666DA"/>
    <w:rsid w:val="00B7229E"/>
    <w:rsid w:val="00B72566"/>
    <w:rsid w:val="00B772BF"/>
    <w:rsid w:val="00B80D2A"/>
    <w:rsid w:val="00B82DA9"/>
    <w:rsid w:val="00B8352D"/>
    <w:rsid w:val="00B86DE5"/>
    <w:rsid w:val="00B872DC"/>
    <w:rsid w:val="00B905AF"/>
    <w:rsid w:val="00B92400"/>
    <w:rsid w:val="00B93C80"/>
    <w:rsid w:val="00B950A5"/>
    <w:rsid w:val="00B95EA1"/>
    <w:rsid w:val="00B96DA3"/>
    <w:rsid w:val="00B97172"/>
    <w:rsid w:val="00BA01F2"/>
    <w:rsid w:val="00BA3FB1"/>
    <w:rsid w:val="00BA65DC"/>
    <w:rsid w:val="00BA689F"/>
    <w:rsid w:val="00BA7138"/>
    <w:rsid w:val="00BB0B9C"/>
    <w:rsid w:val="00BB0FA8"/>
    <w:rsid w:val="00BB0FE0"/>
    <w:rsid w:val="00BB2B04"/>
    <w:rsid w:val="00BB49A0"/>
    <w:rsid w:val="00BB5666"/>
    <w:rsid w:val="00BB5ACD"/>
    <w:rsid w:val="00BB6022"/>
    <w:rsid w:val="00BC1A17"/>
    <w:rsid w:val="00BC22F9"/>
    <w:rsid w:val="00BC3D90"/>
    <w:rsid w:val="00BC6B15"/>
    <w:rsid w:val="00BC6E42"/>
    <w:rsid w:val="00BC721E"/>
    <w:rsid w:val="00BC7589"/>
    <w:rsid w:val="00BC76F6"/>
    <w:rsid w:val="00BD4669"/>
    <w:rsid w:val="00BD561B"/>
    <w:rsid w:val="00BD5D26"/>
    <w:rsid w:val="00BE0305"/>
    <w:rsid w:val="00BE177C"/>
    <w:rsid w:val="00BE2F71"/>
    <w:rsid w:val="00BE3436"/>
    <w:rsid w:val="00BE4041"/>
    <w:rsid w:val="00BE40A6"/>
    <w:rsid w:val="00BE58AA"/>
    <w:rsid w:val="00BE593E"/>
    <w:rsid w:val="00BE7D1F"/>
    <w:rsid w:val="00BE7D42"/>
    <w:rsid w:val="00BF345E"/>
    <w:rsid w:val="00BF3FF3"/>
    <w:rsid w:val="00BF45A1"/>
    <w:rsid w:val="00BF4665"/>
    <w:rsid w:val="00C026C1"/>
    <w:rsid w:val="00C03B56"/>
    <w:rsid w:val="00C04E62"/>
    <w:rsid w:val="00C06A0D"/>
    <w:rsid w:val="00C074CA"/>
    <w:rsid w:val="00C10819"/>
    <w:rsid w:val="00C127A4"/>
    <w:rsid w:val="00C146FC"/>
    <w:rsid w:val="00C15078"/>
    <w:rsid w:val="00C219B9"/>
    <w:rsid w:val="00C24DD5"/>
    <w:rsid w:val="00C25FD5"/>
    <w:rsid w:val="00C27168"/>
    <w:rsid w:val="00C30BBE"/>
    <w:rsid w:val="00C323D1"/>
    <w:rsid w:val="00C3301B"/>
    <w:rsid w:val="00C33311"/>
    <w:rsid w:val="00C347BE"/>
    <w:rsid w:val="00C34CF9"/>
    <w:rsid w:val="00C36E90"/>
    <w:rsid w:val="00C40B5F"/>
    <w:rsid w:val="00C40F2F"/>
    <w:rsid w:val="00C41256"/>
    <w:rsid w:val="00C427E2"/>
    <w:rsid w:val="00C45AD0"/>
    <w:rsid w:val="00C45D7A"/>
    <w:rsid w:val="00C501BD"/>
    <w:rsid w:val="00C52F90"/>
    <w:rsid w:val="00C55F0C"/>
    <w:rsid w:val="00C5734A"/>
    <w:rsid w:val="00C57CBB"/>
    <w:rsid w:val="00C57E77"/>
    <w:rsid w:val="00C657FF"/>
    <w:rsid w:val="00C72A8C"/>
    <w:rsid w:val="00C73BA5"/>
    <w:rsid w:val="00C749BB"/>
    <w:rsid w:val="00C756C3"/>
    <w:rsid w:val="00C769EB"/>
    <w:rsid w:val="00C76A62"/>
    <w:rsid w:val="00C82412"/>
    <w:rsid w:val="00C8272A"/>
    <w:rsid w:val="00C82778"/>
    <w:rsid w:val="00C83366"/>
    <w:rsid w:val="00C877D4"/>
    <w:rsid w:val="00C92E61"/>
    <w:rsid w:val="00C936A2"/>
    <w:rsid w:val="00C9556E"/>
    <w:rsid w:val="00C975BD"/>
    <w:rsid w:val="00CA01DA"/>
    <w:rsid w:val="00CA03B8"/>
    <w:rsid w:val="00CA2091"/>
    <w:rsid w:val="00CA463B"/>
    <w:rsid w:val="00CA5753"/>
    <w:rsid w:val="00CA78C6"/>
    <w:rsid w:val="00CB07E7"/>
    <w:rsid w:val="00CB1933"/>
    <w:rsid w:val="00CB44FF"/>
    <w:rsid w:val="00CB4EB7"/>
    <w:rsid w:val="00CB5634"/>
    <w:rsid w:val="00CB67D3"/>
    <w:rsid w:val="00CB73F6"/>
    <w:rsid w:val="00CC43CA"/>
    <w:rsid w:val="00CD3150"/>
    <w:rsid w:val="00CD4917"/>
    <w:rsid w:val="00CD4C5E"/>
    <w:rsid w:val="00CD4CF4"/>
    <w:rsid w:val="00CD54F8"/>
    <w:rsid w:val="00CD68F7"/>
    <w:rsid w:val="00CD72BE"/>
    <w:rsid w:val="00CD734D"/>
    <w:rsid w:val="00CE1AA6"/>
    <w:rsid w:val="00CE27A7"/>
    <w:rsid w:val="00CE5487"/>
    <w:rsid w:val="00CF006B"/>
    <w:rsid w:val="00CF177F"/>
    <w:rsid w:val="00CF1A41"/>
    <w:rsid w:val="00D005EB"/>
    <w:rsid w:val="00D02A5E"/>
    <w:rsid w:val="00D049C7"/>
    <w:rsid w:val="00D0519C"/>
    <w:rsid w:val="00D074D1"/>
    <w:rsid w:val="00D07C89"/>
    <w:rsid w:val="00D12375"/>
    <w:rsid w:val="00D142EF"/>
    <w:rsid w:val="00D1518C"/>
    <w:rsid w:val="00D155CE"/>
    <w:rsid w:val="00D1571A"/>
    <w:rsid w:val="00D15BA1"/>
    <w:rsid w:val="00D17151"/>
    <w:rsid w:val="00D17CD1"/>
    <w:rsid w:val="00D222AA"/>
    <w:rsid w:val="00D25F2A"/>
    <w:rsid w:val="00D2750C"/>
    <w:rsid w:val="00D27EDE"/>
    <w:rsid w:val="00D30088"/>
    <w:rsid w:val="00D32939"/>
    <w:rsid w:val="00D34259"/>
    <w:rsid w:val="00D34445"/>
    <w:rsid w:val="00D41825"/>
    <w:rsid w:val="00D455BE"/>
    <w:rsid w:val="00D50CBD"/>
    <w:rsid w:val="00D511A1"/>
    <w:rsid w:val="00D524AD"/>
    <w:rsid w:val="00D52B50"/>
    <w:rsid w:val="00D54E65"/>
    <w:rsid w:val="00D54F44"/>
    <w:rsid w:val="00D554EC"/>
    <w:rsid w:val="00D60EC0"/>
    <w:rsid w:val="00D61DC5"/>
    <w:rsid w:val="00D6202B"/>
    <w:rsid w:val="00D64520"/>
    <w:rsid w:val="00D6536A"/>
    <w:rsid w:val="00D65845"/>
    <w:rsid w:val="00D671D0"/>
    <w:rsid w:val="00D67976"/>
    <w:rsid w:val="00D726BD"/>
    <w:rsid w:val="00D729E7"/>
    <w:rsid w:val="00D77363"/>
    <w:rsid w:val="00D77635"/>
    <w:rsid w:val="00D80747"/>
    <w:rsid w:val="00D81A07"/>
    <w:rsid w:val="00D822F0"/>
    <w:rsid w:val="00D83309"/>
    <w:rsid w:val="00D8554C"/>
    <w:rsid w:val="00D856A1"/>
    <w:rsid w:val="00D9252C"/>
    <w:rsid w:val="00D929AD"/>
    <w:rsid w:val="00D96165"/>
    <w:rsid w:val="00D965A0"/>
    <w:rsid w:val="00D975BD"/>
    <w:rsid w:val="00DA0680"/>
    <w:rsid w:val="00DA3B74"/>
    <w:rsid w:val="00DA494A"/>
    <w:rsid w:val="00DA4AE2"/>
    <w:rsid w:val="00DA5654"/>
    <w:rsid w:val="00DA58DE"/>
    <w:rsid w:val="00DA5AD9"/>
    <w:rsid w:val="00DB150D"/>
    <w:rsid w:val="00DB24C3"/>
    <w:rsid w:val="00DB28AB"/>
    <w:rsid w:val="00DB2979"/>
    <w:rsid w:val="00DB432C"/>
    <w:rsid w:val="00DB52E9"/>
    <w:rsid w:val="00DC2DA4"/>
    <w:rsid w:val="00DC37EC"/>
    <w:rsid w:val="00DC3B3C"/>
    <w:rsid w:val="00DC6FB3"/>
    <w:rsid w:val="00DD0B47"/>
    <w:rsid w:val="00DD2F38"/>
    <w:rsid w:val="00DD4C53"/>
    <w:rsid w:val="00DD5186"/>
    <w:rsid w:val="00DD5A0C"/>
    <w:rsid w:val="00DD6E1A"/>
    <w:rsid w:val="00DD76DE"/>
    <w:rsid w:val="00DE0B86"/>
    <w:rsid w:val="00DF2521"/>
    <w:rsid w:val="00DF356B"/>
    <w:rsid w:val="00DF5EAB"/>
    <w:rsid w:val="00DF7F91"/>
    <w:rsid w:val="00E03F65"/>
    <w:rsid w:val="00E04472"/>
    <w:rsid w:val="00E04696"/>
    <w:rsid w:val="00E06123"/>
    <w:rsid w:val="00E07A07"/>
    <w:rsid w:val="00E07C06"/>
    <w:rsid w:val="00E07C39"/>
    <w:rsid w:val="00E11109"/>
    <w:rsid w:val="00E11751"/>
    <w:rsid w:val="00E1212E"/>
    <w:rsid w:val="00E145A7"/>
    <w:rsid w:val="00E1713D"/>
    <w:rsid w:val="00E21FAA"/>
    <w:rsid w:val="00E21FC5"/>
    <w:rsid w:val="00E24CF7"/>
    <w:rsid w:val="00E27C25"/>
    <w:rsid w:val="00E32DE4"/>
    <w:rsid w:val="00E35DB1"/>
    <w:rsid w:val="00E36C74"/>
    <w:rsid w:val="00E36EDE"/>
    <w:rsid w:val="00E37EA0"/>
    <w:rsid w:val="00E41EDA"/>
    <w:rsid w:val="00E4230B"/>
    <w:rsid w:val="00E43D25"/>
    <w:rsid w:val="00E449FE"/>
    <w:rsid w:val="00E457DC"/>
    <w:rsid w:val="00E51C75"/>
    <w:rsid w:val="00E527BC"/>
    <w:rsid w:val="00E5661B"/>
    <w:rsid w:val="00E6023A"/>
    <w:rsid w:val="00E63229"/>
    <w:rsid w:val="00E64222"/>
    <w:rsid w:val="00E652A0"/>
    <w:rsid w:val="00E6714F"/>
    <w:rsid w:val="00E71117"/>
    <w:rsid w:val="00E742B6"/>
    <w:rsid w:val="00E75806"/>
    <w:rsid w:val="00E76846"/>
    <w:rsid w:val="00E8199A"/>
    <w:rsid w:val="00E81AFD"/>
    <w:rsid w:val="00E828DC"/>
    <w:rsid w:val="00E84989"/>
    <w:rsid w:val="00E84C74"/>
    <w:rsid w:val="00E8580D"/>
    <w:rsid w:val="00E85E62"/>
    <w:rsid w:val="00E874E6"/>
    <w:rsid w:val="00E87501"/>
    <w:rsid w:val="00E9301E"/>
    <w:rsid w:val="00E956C8"/>
    <w:rsid w:val="00E957C7"/>
    <w:rsid w:val="00E9613C"/>
    <w:rsid w:val="00E96456"/>
    <w:rsid w:val="00EA07C5"/>
    <w:rsid w:val="00EA2E43"/>
    <w:rsid w:val="00EA58CE"/>
    <w:rsid w:val="00EA5C03"/>
    <w:rsid w:val="00EA7E0E"/>
    <w:rsid w:val="00EB33A2"/>
    <w:rsid w:val="00EB413D"/>
    <w:rsid w:val="00EB4C22"/>
    <w:rsid w:val="00EB50D7"/>
    <w:rsid w:val="00EB751A"/>
    <w:rsid w:val="00EC0644"/>
    <w:rsid w:val="00EC0F71"/>
    <w:rsid w:val="00EC22A6"/>
    <w:rsid w:val="00EC5CFD"/>
    <w:rsid w:val="00EC6365"/>
    <w:rsid w:val="00ED1EBB"/>
    <w:rsid w:val="00ED3B13"/>
    <w:rsid w:val="00ED5FD3"/>
    <w:rsid w:val="00ED6378"/>
    <w:rsid w:val="00ED644F"/>
    <w:rsid w:val="00EE0D6E"/>
    <w:rsid w:val="00EE325D"/>
    <w:rsid w:val="00EE3521"/>
    <w:rsid w:val="00EE477A"/>
    <w:rsid w:val="00EE5372"/>
    <w:rsid w:val="00EE6828"/>
    <w:rsid w:val="00EF13FF"/>
    <w:rsid w:val="00EF1EBB"/>
    <w:rsid w:val="00EF381B"/>
    <w:rsid w:val="00EF5617"/>
    <w:rsid w:val="00EF5C52"/>
    <w:rsid w:val="00EF6034"/>
    <w:rsid w:val="00F0146E"/>
    <w:rsid w:val="00F052CA"/>
    <w:rsid w:val="00F05372"/>
    <w:rsid w:val="00F078A7"/>
    <w:rsid w:val="00F113D9"/>
    <w:rsid w:val="00F12795"/>
    <w:rsid w:val="00F1397B"/>
    <w:rsid w:val="00F1425F"/>
    <w:rsid w:val="00F15881"/>
    <w:rsid w:val="00F15B50"/>
    <w:rsid w:val="00F1654A"/>
    <w:rsid w:val="00F20D52"/>
    <w:rsid w:val="00F22F1F"/>
    <w:rsid w:val="00F25316"/>
    <w:rsid w:val="00F25A13"/>
    <w:rsid w:val="00F266A1"/>
    <w:rsid w:val="00F2726D"/>
    <w:rsid w:val="00F310AA"/>
    <w:rsid w:val="00F35584"/>
    <w:rsid w:val="00F364ED"/>
    <w:rsid w:val="00F36CC2"/>
    <w:rsid w:val="00F36D9E"/>
    <w:rsid w:val="00F4100E"/>
    <w:rsid w:val="00F41839"/>
    <w:rsid w:val="00F4237C"/>
    <w:rsid w:val="00F45727"/>
    <w:rsid w:val="00F457BD"/>
    <w:rsid w:val="00F46504"/>
    <w:rsid w:val="00F474A2"/>
    <w:rsid w:val="00F4778E"/>
    <w:rsid w:val="00F51CB0"/>
    <w:rsid w:val="00F52C53"/>
    <w:rsid w:val="00F53845"/>
    <w:rsid w:val="00F5751D"/>
    <w:rsid w:val="00F643E5"/>
    <w:rsid w:val="00F64D82"/>
    <w:rsid w:val="00F65164"/>
    <w:rsid w:val="00F70857"/>
    <w:rsid w:val="00F714BD"/>
    <w:rsid w:val="00F72447"/>
    <w:rsid w:val="00F74820"/>
    <w:rsid w:val="00F76E31"/>
    <w:rsid w:val="00F77975"/>
    <w:rsid w:val="00F804B2"/>
    <w:rsid w:val="00F80BC9"/>
    <w:rsid w:val="00F80FB2"/>
    <w:rsid w:val="00F841FF"/>
    <w:rsid w:val="00F84277"/>
    <w:rsid w:val="00F8529F"/>
    <w:rsid w:val="00F87623"/>
    <w:rsid w:val="00F910BE"/>
    <w:rsid w:val="00F911ED"/>
    <w:rsid w:val="00F91EA9"/>
    <w:rsid w:val="00F923D0"/>
    <w:rsid w:val="00F930A0"/>
    <w:rsid w:val="00F94018"/>
    <w:rsid w:val="00F97ACA"/>
    <w:rsid w:val="00FA0BE1"/>
    <w:rsid w:val="00FA6DEA"/>
    <w:rsid w:val="00FA7420"/>
    <w:rsid w:val="00FB082A"/>
    <w:rsid w:val="00FB1E2C"/>
    <w:rsid w:val="00FB44D3"/>
    <w:rsid w:val="00FB7769"/>
    <w:rsid w:val="00FC4E90"/>
    <w:rsid w:val="00FC4ED2"/>
    <w:rsid w:val="00FC653C"/>
    <w:rsid w:val="00FC7AB3"/>
    <w:rsid w:val="00FD1BDC"/>
    <w:rsid w:val="00FD1E14"/>
    <w:rsid w:val="00FD4119"/>
    <w:rsid w:val="00FD56BA"/>
    <w:rsid w:val="00FD5AE4"/>
    <w:rsid w:val="00FD5EE9"/>
    <w:rsid w:val="00FD7362"/>
    <w:rsid w:val="00FD7547"/>
    <w:rsid w:val="00FE5507"/>
    <w:rsid w:val="00FE7E95"/>
    <w:rsid w:val="00FF0847"/>
    <w:rsid w:val="00FF0D6C"/>
    <w:rsid w:val="00FF28E1"/>
    <w:rsid w:val="00FF29A0"/>
    <w:rsid w:val="00FF41AE"/>
    <w:rsid w:val="00FF46F5"/>
    <w:rsid w:val="00FF4CE2"/>
    <w:rsid w:val="04BB3F0E"/>
    <w:rsid w:val="058B96D1"/>
    <w:rsid w:val="06C5AA13"/>
    <w:rsid w:val="079DB438"/>
    <w:rsid w:val="07BCE297"/>
    <w:rsid w:val="09600D2F"/>
    <w:rsid w:val="0A7C3C55"/>
    <w:rsid w:val="0D2F00D5"/>
    <w:rsid w:val="0DFF85EF"/>
    <w:rsid w:val="0E15E1CE"/>
    <w:rsid w:val="0E3EA77F"/>
    <w:rsid w:val="0EBC2E37"/>
    <w:rsid w:val="0F12457F"/>
    <w:rsid w:val="1030B057"/>
    <w:rsid w:val="10B3D13E"/>
    <w:rsid w:val="115236B9"/>
    <w:rsid w:val="115281DB"/>
    <w:rsid w:val="132A9AEF"/>
    <w:rsid w:val="13F4AFCC"/>
    <w:rsid w:val="15B9266C"/>
    <w:rsid w:val="176CF47F"/>
    <w:rsid w:val="17CFA157"/>
    <w:rsid w:val="18C0C5B9"/>
    <w:rsid w:val="1A1632C4"/>
    <w:rsid w:val="1BB0DCEC"/>
    <w:rsid w:val="1CA04EB8"/>
    <w:rsid w:val="1CEE75EA"/>
    <w:rsid w:val="1FBFCB4F"/>
    <w:rsid w:val="222A792D"/>
    <w:rsid w:val="24AF6F11"/>
    <w:rsid w:val="26E7014C"/>
    <w:rsid w:val="27C80138"/>
    <w:rsid w:val="29B7F2A0"/>
    <w:rsid w:val="2A4016F2"/>
    <w:rsid w:val="2AC989F3"/>
    <w:rsid w:val="2BE299E9"/>
    <w:rsid w:val="2D802AA5"/>
    <w:rsid w:val="2EC24EBF"/>
    <w:rsid w:val="2EE48417"/>
    <w:rsid w:val="2FCB88EB"/>
    <w:rsid w:val="300C20D5"/>
    <w:rsid w:val="30A351EC"/>
    <w:rsid w:val="31FE3A9C"/>
    <w:rsid w:val="32EA653F"/>
    <w:rsid w:val="33F08FF8"/>
    <w:rsid w:val="34C1443C"/>
    <w:rsid w:val="34E959DE"/>
    <w:rsid w:val="34E9ADE2"/>
    <w:rsid w:val="3A635CAE"/>
    <w:rsid w:val="3BD6AFB5"/>
    <w:rsid w:val="3F811714"/>
    <w:rsid w:val="403C589C"/>
    <w:rsid w:val="4047AF73"/>
    <w:rsid w:val="4100AA59"/>
    <w:rsid w:val="411A7E5B"/>
    <w:rsid w:val="430B3D70"/>
    <w:rsid w:val="4363662F"/>
    <w:rsid w:val="45955F5F"/>
    <w:rsid w:val="45EAEB0C"/>
    <w:rsid w:val="4642944F"/>
    <w:rsid w:val="46542D71"/>
    <w:rsid w:val="47E26AB4"/>
    <w:rsid w:val="48A7666B"/>
    <w:rsid w:val="4BB13434"/>
    <w:rsid w:val="4BFEBDB2"/>
    <w:rsid w:val="4F92EC9C"/>
    <w:rsid w:val="533D7899"/>
    <w:rsid w:val="573CB558"/>
    <w:rsid w:val="57A7969D"/>
    <w:rsid w:val="5A5A2E53"/>
    <w:rsid w:val="5A8A9AED"/>
    <w:rsid w:val="5E8EBC86"/>
    <w:rsid w:val="5EB25D5C"/>
    <w:rsid w:val="5F170C53"/>
    <w:rsid w:val="5FC09A67"/>
    <w:rsid w:val="615ED56A"/>
    <w:rsid w:val="61DEE38C"/>
    <w:rsid w:val="6255DD3F"/>
    <w:rsid w:val="63B7812E"/>
    <w:rsid w:val="65245241"/>
    <w:rsid w:val="66B8B5BB"/>
    <w:rsid w:val="66E0A96B"/>
    <w:rsid w:val="6C58AC46"/>
    <w:rsid w:val="6D6956F5"/>
    <w:rsid w:val="6D7D1BBA"/>
    <w:rsid w:val="6F2415AF"/>
    <w:rsid w:val="7058F20A"/>
    <w:rsid w:val="7159A114"/>
    <w:rsid w:val="7160FCA9"/>
    <w:rsid w:val="7193AEDB"/>
    <w:rsid w:val="71DFD88D"/>
    <w:rsid w:val="72AECA9B"/>
    <w:rsid w:val="72B4DF46"/>
    <w:rsid w:val="73242076"/>
    <w:rsid w:val="7431FB19"/>
    <w:rsid w:val="746CAC9E"/>
    <w:rsid w:val="74D23BCF"/>
    <w:rsid w:val="752DA43F"/>
    <w:rsid w:val="75BE6DAF"/>
    <w:rsid w:val="75D575BA"/>
    <w:rsid w:val="76E764DF"/>
    <w:rsid w:val="77185280"/>
    <w:rsid w:val="77DD22FD"/>
    <w:rsid w:val="78570A59"/>
    <w:rsid w:val="7B18172A"/>
    <w:rsid w:val="7C27E8ED"/>
    <w:rsid w:val="7CEDC36F"/>
    <w:rsid w:val="7D43E97B"/>
    <w:rsid w:val="7D5CCBEE"/>
    <w:rsid w:val="7E799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AF81F"/>
  <w15:docId w15:val="{A71338D2-A025-4DF5-A0A5-BF43A9D7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B1933"/>
    <w:rPr>
      <w:rFonts w:ascii="Calibri" w:eastAsia="Calibri" w:hAnsi="Calibri" w:cs="Calibri"/>
      <w:sz w:val="24"/>
    </w:rPr>
  </w:style>
  <w:style w:type="paragraph" w:styleId="Heading1">
    <w:name w:val="heading 1"/>
    <w:basedOn w:val="Normal"/>
    <w:link w:val="Heading1Char"/>
    <w:uiPriority w:val="9"/>
    <w:qFormat/>
    <w:rsid w:val="00CB1933"/>
    <w:pPr>
      <w:spacing w:line="879" w:lineRule="exact"/>
      <w:outlineLvl w:val="0"/>
    </w:pPr>
    <w:rPr>
      <w:b/>
      <w:sz w:val="72"/>
    </w:rPr>
  </w:style>
  <w:style w:type="paragraph" w:styleId="Heading2">
    <w:name w:val="heading 2"/>
    <w:basedOn w:val="Heading1"/>
    <w:uiPriority w:val="1"/>
    <w:qFormat/>
    <w:rsid w:val="00CB1933"/>
    <w:pPr>
      <w:keepNext/>
      <w:keepLines/>
      <w:widowControl/>
      <w:numPr>
        <w:numId w:val="7"/>
      </w:numPr>
      <w:autoSpaceDE/>
      <w:autoSpaceDN/>
      <w:spacing w:after="120" w:line="259" w:lineRule="auto"/>
      <w:outlineLvl w:val="1"/>
    </w:pPr>
    <w:rPr>
      <w:rFonts w:asciiTheme="minorHAnsi" w:eastAsiaTheme="minorEastAsia" w:hAnsiTheme="minorHAnsi" w:cstheme="minorHAnsi"/>
      <w:color w:val="000000" w:themeColor="text1"/>
      <w:sz w:val="28"/>
      <w:szCs w:val="6"/>
      <w:lang w:eastAsia="ja-JP"/>
    </w:rPr>
  </w:style>
  <w:style w:type="paragraph" w:styleId="Heading3">
    <w:name w:val="heading 3"/>
    <w:basedOn w:val="Normal"/>
    <w:uiPriority w:val="1"/>
    <w:qFormat/>
    <w:rsid w:val="00CB1933"/>
    <w:pPr>
      <w:spacing w:after="120"/>
      <w:ind w:left="1038" w:hanging="329"/>
      <w:outlineLvl w:val="2"/>
    </w:pPr>
    <w:rPr>
      <w:rFonts w:asciiTheme="minorHAnsi" w:eastAsia="Cambria" w:hAnsiTheme="minorHAnsi" w:cstheme="minorHAnsi"/>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0"/>
      <w:ind w:left="538" w:hanging="219"/>
    </w:pPr>
  </w:style>
  <w:style w:type="paragraph" w:styleId="TOC2">
    <w:name w:val="toc 2"/>
    <w:basedOn w:val="Normal"/>
    <w:uiPriority w:val="39"/>
    <w:qFormat/>
    <w:pPr>
      <w:spacing w:before="139"/>
      <w:ind w:left="871" w:hanging="332"/>
    </w:pPr>
  </w:style>
  <w:style w:type="paragraph" w:styleId="TOC3">
    <w:name w:val="toc 3"/>
    <w:basedOn w:val="Normal"/>
    <w:uiPriority w:val="39"/>
    <w:qFormat/>
    <w:pPr>
      <w:spacing w:before="139"/>
      <w:ind w:left="872" w:hanging="332"/>
    </w:pPr>
  </w:style>
  <w:style w:type="paragraph" w:styleId="TOC4">
    <w:name w:val="toc 4"/>
    <w:basedOn w:val="Normal"/>
    <w:uiPriority w:val="1"/>
    <w:qFormat/>
    <w:pPr>
      <w:spacing w:before="140"/>
      <w:ind w:left="759"/>
    </w:pPr>
  </w:style>
  <w:style w:type="paragraph" w:styleId="BodyText">
    <w:name w:val="Body Text"/>
    <w:basedOn w:val="Normal"/>
    <w:link w:val="BodyTextChar"/>
    <w:uiPriority w:val="1"/>
    <w:qFormat/>
  </w:style>
  <w:style w:type="paragraph" w:styleId="ListParagraph">
    <w:name w:val="List Paragraph"/>
    <w:basedOn w:val="Normal"/>
    <w:uiPriority w:val="1"/>
    <w:qFormat/>
    <w:pPr>
      <w:ind w:left="1040" w:hanging="361"/>
      <w:jc w:val="both"/>
    </w:pPr>
  </w:style>
  <w:style w:type="paragraph" w:customStyle="1" w:styleId="TableParagraph">
    <w:name w:val="Table Paragraph"/>
    <w:basedOn w:val="Normal"/>
    <w:uiPriority w:val="1"/>
    <w:qFormat/>
    <w:pPr>
      <w:ind w:left="107"/>
      <w:jc w:val="center"/>
    </w:pPr>
  </w:style>
  <w:style w:type="paragraph" w:styleId="BalloonText">
    <w:name w:val="Balloon Text"/>
    <w:basedOn w:val="Normal"/>
    <w:link w:val="BalloonTextChar"/>
    <w:uiPriority w:val="99"/>
    <w:semiHidden/>
    <w:unhideWhenUsed/>
    <w:rsid w:val="002576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624"/>
    <w:rPr>
      <w:rFonts w:ascii="Segoe UI" w:eastAsia="Calibri" w:hAnsi="Segoe UI" w:cs="Segoe UI"/>
      <w:sz w:val="18"/>
      <w:szCs w:val="18"/>
    </w:rPr>
  </w:style>
  <w:style w:type="character" w:styleId="Hyperlink">
    <w:name w:val="Hyperlink"/>
    <w:basedOn w:val="DefaultParagraphFont"/>
    <w:uiPriority w:val="99"/>
    <w:unhideWhenUsed/>
    <w:rsid w:val="00257624"/>
    <w:rPr>
      <w:color w:val="0000FF" w:themeColor="hyperlink"/>
      <w:u w:val="single"/>
    </w:rPr>
  </w:style>
  <w:style w:type="character" w:styleId="CommentReference">
    <w:name w:val="annotation reference"/>
    <w:basedOn w:val="DefaultParagraphFont"/>
    <w:uiPriority w:val="99"/>
    <w:semiHidden/>
    <w:unhideWhenUsed/>
    <w:rsid w:val="00257624"/>
    <w:rPr>
      <w:sz w:val="16"/>
      <w:szCs w:val="16"/>
    </w:rPr>
  </w:style>
  <w:style w:type="paragraph" w:styleId="CommentText">
    <w:name w:val="annotation text"/>
    <w:basedOn w:val="Normal"/>
    <w:link w:val="CommentTextChar"/>
    <w:uiPriority w:val="99"/>
    <w:unhideWhenUsed/>
    <w:rsid w:val="00257624"/>
    <w:rPr>
      <w:sz w:val="20"/>
      <w:szCs w:val="20"/>
    </w:rPr>
  </w:style>
  <w:style w:type="character" w:customStyle="1" w:styleId="CommentTextChar">
    <w:name w:val="Comment Text Char"/>
    <w:basedOn w:val="DefaultParagraphFont"/>
    <w:link w:val="CommentText"/>
    <w:uiPriority w:val="99"/>
    <w:rsid w:val="0025762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57624"/>
    <w:rPr>
      <w:b/>
      <w:bCs/>
    </w:rPr>
  </w:style>
  <w:style w:type="character" w:customStyle="1" w:styleId="CommentSubjectChar">
    <w:name w:val="Comment Subject Char"/>
    <w:basedOn w:val="CommentTextChar"/>
    <w:link w:val="CommentSubject"/>
    <w:uiPriority w:val="99"/>
    <w:semiHidden/>
    <w:rsid w:val="00257624"/>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A01D8D"/>
    <w:rPr>
      <w:color w:val="800080" w:themeColor="followedHyperlink"/>
      <w:u w:val="single"/>
    </w:rPr>
  </w:style>
  <w:style w:type="character" w:customStyle="1" w:styleId="Heading1Char">
    <w:name w:val="Heading 1 Char"/>
    <w:basedOn w:val="DefaultParagraphFont"/>
    <w:link w:val="Heading1"/>
    <w:uiPriority w:val="9"/>
    <w:rsid w:val="00CB1933"/>
    <w:rPr>
      <w:rFonts w:ascii="Calibri" w:eastAsia="Calibri" w:hAnsi="Calibri" w:cs="Calibri"/>
      <w:b/>
      <w:sz w:val="72"/>
    </w:rPr>
  </w:style>
  <w:style w:type="paragraph" w:styleId="Caption">
    <w:name w:val="caption"/>
    <w:basedOn w:val="Normal"/>
    <w:next w:val="Normal"/>
    <w:uiPriority w:val="35"/>
    <w:unhideWhenUsed/>
    <w:qFormat/>
    <w:rsid w:val="001708AF"/>
    <w:pPr>
      <w:widowControl/>
      <w:autoSpaceDE/>
      <w:autoSpaceDN/>
      <w:spacing w:after="200"/>
    </w:pPr>
    <w:rPr>
      <w:rFonts w:asciiTheme="minorHAnsi" w:eastAsiaTheme="minorHAnsi" w:hAnsiTheme="minorHAnsi" w:cstheme="minorBidi"/>
      <w:i/>
      <w:iCs/>
      <w:color w:val="1F497D" w:themeColor="text2"/>
      <w:sz w:val="18"/>
      <w:szCs w:val="18"/>
      <w:lang w:val="en-GB"/>
    </w:rPr>
  </w:style>
  <w:style w:type="paragraph" w:styleId="FootnoteText">
    <w:name w:val="footnote text"/>
    <w:basedOn w:val="Normal"/>
    <w:link w:val="FootnoteTextChar"/>
    <w:uiPriority w:val="99"/>
    <w:semiHidden/>
    <w:unhideWhenUsed/>
    <w:rsid w:val="00C10819"/>
    <w:rPr>
      <w:sz w:val="20"/>
      <w:szCs w:val="20"/>
    </w:rPr>
  </w:style>
  <w:style w:type="character" w:customStyle="1" w:styleId="FootnoteTextChar">
    <w:name w:val="Footnote Text Char"/>
    <w:basedOn w:val="DefaultParagraphFont"/>
    <w:link w:val="FootnoteText"/>
    <w:uiPriority w:val="99"/>
    <w:semiHidden/>
    <w:rsid w:val="00C10819"/>
    <w:rPr>
      <w:rFonts w:ascii="Calibri" w:eastAsia="Calibri" w:hAnsi="Calibri" w:cs="Calibri"/>
      <w:sz w:val="20"/>
      <w:szCs w:val="20"/>
    </w:rPr>
  </w:style>
  <w:style w:type="character" w:styleId="FootnoteReference">
    <w:name w:val="footnote reference"/>
    <w:basedOn w:val="DefaultParagraphFont"/>
    <w:uiPriority w:val="99"/>
    <w:semiHidden/>
    <w:unhideWhenUsed/>
    <w:rsid w:val="00C10819"/>
    <w:rPr>
      <w:vertAlign w:val="superscript"/>
    </w:rPr>
  </w:style>
  <w:style w:type="paragraph" w:styleId="Header">
    <w:name w:val="header"/>
    <w:basedOn w:val="Normal"/>
    <w:link w:val="HeaderChar"/>
    <w:uiPriority w:val="99"/>
    <w:unhideWhenUsed/>
    <w:rsid w:val="00EC5CFD"/>
    <w:pPr>
      <w:tabs>
        <w:tab w:val="center" w:pos="4513"/>
        <w:tab w:val="right" w:pos="9026"/>
      </w:tabs>
    </w:pPr>
  </w:style>
  <w:style w:type="character" w:customStyle="1" w:styleId="HeaderChar">
    <w:name w:val="Header Char"/>
    <w:basedOn w:val="DefaultParagraphFont"/>
    <w:link w:val="Header"/>
    <w:uiPriority w:val="99"/>
    <w:rsid w:val="00EC5CFD"/>
    <w:rPr>
      <w:rFonts w:ascii="Calibri" w:eastAsia="Calibri" w:hAnsi="Calibri" w:cs="Calibri"/>
    </w:rPr>
  </w:style>
  <w:style w:type="paragraph" w:styleId="Footer">
    <w:name w:val="footer"/>
    <w:basedOn w:val="Normal"/>
    <w:link w:val="FooterChar"/>
    <w:uiPriority w:val="99"/>
    <w:unhideWhenUsed/>
    <w:rsid w:val="00EC5CFD"/>
    <w:pPr>
      <w:tabs>
        <w:tab w:val="center" w:pos="4513"/>
        <w:tab w:val="right" w:pos="9026"/>
      </w:tabs>
    </w:pPr>
  </w:style>
  <w:style w:type="character" w:customStyle="1" w:styleId="FooterChar">
    <w:name w:val="Footer Char"/>
    <w:basedOn w:val="DefaultParagraphFont"/>
    <w:link w:val="Footer"/>
    <w:uiPriority w:val="99"/>
    <w:rsid w:val="00EC5CFD"/>
    <w:rPr>
      <w:rFonts w:ascii="Calibri" w:eastAsia="Calibri" w:hAnsi="Calibri" w:cs="Calibri"/>
    </w:rPr>
  </w:style>
  <w:style w:type="paragraph" w:styleId="TOCHeading">
    <w:name w:val="TOC Heading"/>
    <w:basedOn w:val="Heading1"/>
    <w:next w:val="Normal"/>
    <w:uiPriority w:val="39"/>
    <w:unhideWhenUsed/>
    <w:qFormat/>
    <w:rsid w:val="006267E2"/>
    <w:pPr>
      <w:keepNext/>
      <w:keepLines/>
      <w:widowControl/>
      <w:autoSpaceDE/>
      <w:autoSpaceDN/>
      <w:spacing w:before="240" w:line="259" w:lineRule="auto"/>
      <w:outlineLvl w:val="9"/>
    </w:pPr>
    <w:rPr>
      <w:rFonts w:asciiTheme="majorHAnsi" w:eastAsiaTheme="majorEastAsia" w:hAnsiTheme="majorHAnsi" w:cstheme="majorBidi"/>
      <w:b w:val="0"/>
      <w:bCs/>
      <w:color w:val="365F91" w:themeColor="accent1" w:themeShade="BF"/>
      <w:sz w:val="32"/>
      <w:szCs w:val="32"/>
    </w:rPr>
  </w:style>
  <w:style w:type="table" w:styleId="TableGrid">
    <w:name w:val="Table Grid"/>
    <w:basedOn w:val="TableNormal"/>
    <w:uiPriority w:val="39"/>
    <w:rsid w:val="008A7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B3025"/>
    <w:pPr>
      <w:widowControl/>
      <w:autoSpaceDE/>
      <w:autoSpaceDN/>
      <w:spacing w:before="100" w:beforeAutospacing="1" w:after="100" w:afterAutospacing="1"/>
    </w:pPr>
    <w:rPr>
      <w:rFonts w:ascii="Times New Roman" w:eastAsia="Times New Roman" w:hAnsi="Times New Roman" w:cs="Times New Roman"/>
      <w:szCs w:val="24"/>
      <w:lang w:val="en-GB" w:eastAsia="en-GB"/>
    </w:rPr>
  </w:style>
  <w:style w:type="paragraph" w:styleId="TableofFigures">
    <w:name w:val="table of figures"/>
    <w:basedOn w:val="Normal"/>
    <w:next w:val="Normal"/>
    <w:uiPriority w:val="99"/>
    <w:unhideWhenUsed/>
    <w:rsid w:val="00D142EF"/>
  </w:style>
  <w:style w:type="character" w:customStyle="1" w:styleId="normaltextrun">
    <w:name w:val="normaltextrun"/>
    <w:basedOn w:val="DefaultParagraphFont"/>
    <w:rsid w:val="00800EE8"/>
  </w:style>
  <w:style w:type="character" w:customStyle="1" w:styleId="BodyTextChar">
    <w:name w:val="Body Text Char"/>
    <w:basedOn w:val="DefaultParagraphFont"/>
    <w:link w:val="BodyText"/>
    <w:uiPriority w:val="1"/>
    <w:rsid w:val="00860AD7"/>
    <w:rPr>
      <w:rFonts w:ascii="Calibri" w:eastAsia="Calibri" w:hAnsi="Calibri" w:cs="Calibri"/>
    </w:rPr>
  </w:style>
  <w:style w:type="character" w:customStyle="1" w:styleId="casenumber">
    <w:name w:val="casenumber"/>
    <w:basedOn w:val="DefaultParagraphFont"/>
    <w:rsid w:val="005118EA"/>
  </w:style>
  <w:style w:type="character" w:customStyle="1" w:styleId="divider1">
    <w:name w:val="divider1"/>
    <w:basedOn w:val="DefaultParagraphFont"/>
    <w:rsid w:val="005118EA"/>
  </w:style>
  <w:style w:type="character" w:customStyle="1" w:styleId="description">
    <w:name w:val="description"/>
    <w:basedOn w:val="DefaultParagraphFont"/>
    <w:rsid w:val="005118EA"/>
  </w:style>
  <w:style w:type="character" w:customStyle="1" w:styleId="divider2">
    <w:name w:val="divider2"/>
    <w:basedOn w:val="DefaultParagraphFont"/>
    <w:rsid w:val="005118EA"/>
  </w:style>
  <w:style w:type="paragraph" w:customStyle="1" w:styleId="SNCLTableEntrytext">
    <w:name w:val="SNCL Table Entry text"/>
    <w:basedOn w:val="Normal"/>
    <w:rsid w:val="005118EA"/>
    <w:pPr>
      <w:widowControl/>
      <w:autoSpaceDE/>
      <w:autoSpaceDN/>
      <w:spacing w:before="60" w:after="60"/>
      <w:jc w:val="center"/>
    </w:pPr>
    <w:rPr>
      <w:rFonts w:ascii="Arial" w:eastAsiaTheme="minorHAnsi" w:hAnsi="Arial" w:cs="Arial"/>
      <w:color w:val="44546A"/>
      <w:sz w:val="16"/>
      <w:szCs w:val="16"/>
      <w:lang w:val="en-GB"/>
    </w:rPr>
  </w:style>
  <w:style w:type="character" w:customStyle="1" w:styleId="UnresolvedMention1">
    <w:name w:val="Unresolved Mention1"/>
    <w:basedOn w:val="DefaultParagraphFont"/>
    <w:uiPriority w:val="99"/>
    <w:semiHidden/>
    <w:unhideWhenUsed/>
    <w:rsid w:val="0083494A"/>
    <w:rPr>
      <w:color w:val="605E5C"/>
      <w:shd w:val="clear" w:color="auto" w:fill="E1DFDD"/>
    </w:rPr>
  </w:style>
  <w:style w:type="paragraph" w:styleId="Revision">
    <w:name w:val="Revision"/>
    <w:hidden/>
    <w:uiPriority w:val="99"/>
    <w:semiHidden/>
    <w:rsid w:val="00FD56BA"/>
    <w:pPr>
      <w:widowControl/>
      <w:autoSpaceDE/>
      <w:autoSpaceDN/>
    </w:pPr>
    <w:rPr>
      <w:rFonts w:ascii="Calibri" w:eastAsia="Calibri" w:hAnsi="Calibri" w:cs="Calibri"/>
    </w:rPr>
  </w:style>
  <w:style w:type="character" w:customStyle="1" w:styleId="UnresolvedMention2">
    <w:name w:val="Unresolved Mention2"/>
    <w:basedOn w:val="DefaultParagraphFont"/>
    <w:uiPriority w:val="99"/>
    <w:semiHidden/>
    <w:unhideWhenUsed/>
    <w:rsid w:val="00FD7547"/>
    <w:rPr>
      <w:color w:val="605E5C"/>
      <w:shd w:val="clear" w:color="auto" w:fill="E1DFDD"/>
    </w:rPr>
  </w:style>
  <w:style w:type="character" w:customStyle="1" w:styleId="UnresolvedMention3">
    <w:name w:val="Unresolved Mention3"/>
    <w:basedOn w:val="DefaultParagraphFont"/>
    <w:uiPriority w:val="99"/>
    <w:semiHidden/>
    <w:unhideWhenUsed/>
    <w:rsid w:val="002C541A"/>
    <w:rPr>
      <w:color w:val="605E5C"/>
      <w:shd w:val="clear" w:color="auto" w:fill="E1DFDD"/>
    </w:rPr>
  </w:style>
  <w:style w:type="paragraph" w:customStyle="1" w:styleId="msonormal0">
    <w:name w:val="msonormal"/>
    <w:basedOn w:val="Normal"/>
    <w:rsid w:val="00744255"/>
    <w:pPr>
      <w:widowControl/>
      <w:autoSpaceDE/>
      <w:autoSpaceDN/>
      <w:spacing w:before="100" w:beforeAutospacing="1" w:after="100" w:afterAutospacing="1"/>
    </w:pPr>
    <w:rPr>
      <w:rFonts w:ascii="Times New Roman" w:eastAsia="Times New Roman" w:hAnsi="Times New Roman" w:cs="Times New Roman"/>
      <w:szCs w:val="24"/>
      <w:lang w:val="en-GB" w:eastAsia="en-GB"/>
    </w:rPr>
  </w:style>
  <w:style w:type="paragraph" w:customStyle="1" w:styleId="font0">
    <w:name w:val="font0"/>
    <w:basedOn w:val="Normal"/>
    <w:rsid w:val="00744255"/>
    <w:pPr>
      <w:widowControl/>
      <w:autoSpaceDE/>
      <w:autoSpaceDN/>
      <w:spacing w:before="100" w:beforeAutospacing="1" w:after="100" w:afterAutospacing="1"/>
    </w:pPr>
    <w:rPr>
      <w:rFonts w:eastAsia="Times New Roman"/>
      <w:color w:val="000000"/>
      <w:lang w:val="en-GB" w:eastAsia="en-GB"/>
    </w:rPr>
  </w:style>
  <w:style w:type="paragraph" w:customStyle="1" w:styleId="xl73">
    <w:name w:val="xl73"/>
    <w:basedOn w:val="Normal"/>
    <w:rsid w:val="00744255"/>
    <w:pPr>
      <w:widowControl/>
      <w:autoSpaceDE/>
      <w:autoSpaceDN/>
      <w:spacing w:before="100" w:beforeAutospacing="1" w:after="100" w:afterAutospacing="1"/>
      <w:textAlignment w:val="top"/>
    </w:pPr>
    <w:rPr>
      <w:rFonts w:ascii="Times New Roman" w:eastAsia="Times New Roman" w:hAnsi="Times New Roman" w:cs="Times New Roman"/>
      <w:sz w:val="20"/>
      <w:szCs w:val="20"/>
      <w:lang w:val="en-GB" w:eastAsia="en-GB"/>
    </w:rPr>
  </w:style>
  <w:style w:type="paragraph" w:customStyle="1" w:styleId="xl74">
    <w:name w:val="xl74"/>
    <w:basedOn w:val="Normal"/>
    <w:rsid w:val="00744255"/>
    <w:pPr>
      <w:widowControl/>
      <w:autoSpaceDE/>
      <w:autoSpaceDN/>
      <w:spacing w:before="100" w:beforeAutospacing="1" w:after="100" w:afterAutospacing="1"/>
      <w:textAlignment w:val="top"/>
    </w:pPr>
    <w:rPr>
      <w:rFonts w:ascii="Times New Roman" w:eastAsia="Times New Roman" w:hAnsi="Times New Roman" w:cs="Times New Roman"/>
      <w:b/>
      <w:bCs/>
      <w:szCs w:val="24"/>
      <w:lang w:val="en-GB" w:eastAsia="en-GB"/>
    </w:rPr>
  </w:style>
  <w:style w:type="paragraph" w:customStyle="1" w:styleId="xl75">
    <w:name w:val="xl75"/>
    <w:basedOn w:val="Normal"/>
    <w:rsid w:val="00744255"/>
    <w:pPr>
      <w:widowControl/>
      <w:autoSpaceDE/>
      <w:autoSpaceDN/>
      <w:spacing w:before="100" w:beforeAutospacing="1" w:after="100" w:afterAutospacing="1"/>
      <w:textAlignment w:val="top"/>
    </w:pPr>
    <w:rPr>
      <w:rFonts w:ascii="Times New Roman" w:eastAsia="Times New Roman" w:hAnsi="Times New Roman" w:cs="Times New Roman"/>
      <w:szCs w:val="24"/>
      <w:lang w:val="en-GB" w:eastAsia="en-GB"/>
    </w:rPr>
  </w:style>
  <w:style w:type="paragraph" w:customStyle="1" w:styleId="xl76">
    <w:name w:val="xl76"/>
    <w:basedOn w:val="Normal"/>
    <w:rsid w:val="00744255"/>
    <w:pPr>
      <w:widowControl/>
      <w:autoSpaceDE/>
      <w:autoSpaceDN/>
      <w:spacing w:before="100" w:beforeAutospacing="1" w:after="100" w:afterAutospacing="1"/>
      <w:textAlignment w:val="top"/>
    </w:pPr>
    <w:rPr>
      <w:rFonts w:ascii="Times New Roman" w:eastAsia="Times New Roman" w:hAnsi="Times New Roman" w:cs="Times New Roman"/>
      <w:szCs w:val="24"/>
      <w:lang w:val="en-GB" w:eastAsia="en-GB"/>
    </w:rPr>
  </w:style>
  <w:style w:type="paragraph" w:customStyle="1" w:styleId="xl77">
    <w:name w:val="xl77"/>
    <w:basedOn w:val="Normal"/>
    <w:rsid w:val="00744255"/>
    <w:pPr>
      <w:widowControl/>
      <w:autoSpaceDE/>
      <w:autoSpaceDN/>
      <w:spacing w:before="100" w:beforeAutospacing="1" w:after="100" w:afterAutospacing="1"/>
      <w:textAlignment w:val="top"/>
    </w:pPr>
    <w:rPr>
      <w:rFonts w:ascii="Times New Roman" w:eastAsia="Times New Roman" w:hAnsi="Times New Roman" w:cs="Times New Roman"/>
      <w:szCs w:val="24"/>
      <w:lang w:val="en-GB" w:eastAsia="en-GB"/>
    </w:rPr>
  </w:style>
  <w:style w:type="paragraph" w:customStyle="1" w:styleId="xl78">
    <w:name w:val="xl78"/>
    <w:basedOn w:val="Normal"/>
    <w:rsid w:val="00744255"/>
    <w:pPr>
      <w:widowControl/>
      <w:autoSpaceDE/>
      <w:autoSpaceDN/>
      <w:spacing w:before="100" w:beforeAutospacing="1" w:after="100" w:afterAutospacing="1"/>
      <w:jc w:val="center"/>
    </w:pPr>
    <w:rPr>
      <w:rFonts w:ascii="Times New Roman" w:eastAsia="Times New Roman" w:hAnsi="Times New Roman" w:cs="Times New Roman"/>
      <w:sz w:val="20"/>
      <w:szCs w:val="20"/>
      <w:lang w:val="en-GB" w:eastAsia="en-GB"/>
    </w:rPr>
  </w:style>
  <w:style w:type="paragraph" w:customStyle="1" w:styleId="xl79">
    <w:name w:val="xl79"/>
    <w:basedOn w:val="Normal"/>
    <w:rsid w:val="00744255"/>
    <w:pPr>
      <w:widowControl/>
      <w:autoSpaceDE/>
      <w:autoSpaceDN/>
      <w:spacing w:before="100" w:beforeAutospacing="1" w:after="100" w:afterAutospacing="1"/>
      <w:textAlignment w:val="top"/>
    </w:pPr>
    <w:rPr>
      <w:rFonts w:eastAsia="Times New Roman"/>
      <w:szCs w:val="24"/>
      <w:lang w:val="en-GB" w:eastAsia="en-GB"/>
    </w:rPr>
  </w:style>
  <w:style w:type="paragraph" w:customStyle="1" w:styleId="xl80">
    <w:name w:val="xl80"/>
    <w:basedOn w:val="Normal"/>
    <w:rsid w:val="00744255"/>
    <w:pPr>
      <w:widowControl/>
      <w:autoSpaceDE/>
      <w:autoSpaceDN/>
      <w:spacing w:before="100" w:beforeAutospacing="1" w:after="100" w:afterAutospacing="1"/>
      <w:textAlignment w:val="top"/>
    </w:pPr>
    <w:rPr>
      <w:rFonts w:eastAsia="Times New Roman"/>
      <w:szCs w:val="24"/>
      <w:lang w:val="en-GB" w:eastAsia="en-GB"/>
    </w:rPr>
  </w:style>
  <w:style w:type="character" w:styleId="UnresolvedMention">
    <w:name w:val="Unresolved Mention"/>
    <w:basedOn w:val="DefaultParagraphFont"/>
    <w:uiPriority w:val="99"/>
    <w:semiHidden/>
    <w:unhideWhenUsed/>
    <w:rsid w:val="00A01224"/>
    <w:rPr>
      <w:color w:val="605E5C"/>
      <w:shd w:val="clear" w:color="auto" w:fill="E1DFDD"/>
    </w:rPr>
  </w:style>
  <w:style w:type="paragraph" w:customStyle="1" w:styleId="paragraph">
    <w:name w:val="paragraph"/>
    <w:basedOn w:val="Normal"/>
    <w:rsid w:val="00F15881"/>
    <w:pPr>
      <w:widowControl/>
      <w:autoSpaceDE/>
      <w:autoSpaceDN/>
      <w:spacing w:before="100" w:beforeAutospacing="1" w:after="100" w:afterAutospacing="1"/>
    </w:pPr>
    <w:rPr>
      <w:rFonts w:ascii="Times New Roman" w:eastAsia="Times New Roman" w:hAnsi="Times New Roman" w:cs="Times New Roman"/>
      <w:szCs w:val="24"/>
      <w:lang w:val="en-GB" w:eastAsia="en-GB"/>
    </w:rPr>
  </w:style>
  <w:style w:type="character" w:customStyle="1" w:styleId="eop">
    <w:name w:val="eop"/>
    <w:basedOn w:val="DefaultParagraphFont"/>
    <w:rsid w:val="00F15881"/>
  </w:style>
  <w:style w:type="paragraph" w:styleId="EndnoteText">
    <w:name w:val="endnote text"/>
    <w:basedOn w:val="Normal"/>
    <w:link w:val="EndnoteTextChar"/>
    <w:uiPriority w:val="99"/>
    <w:semiHidden/>
    <w:unhideWhenUsed/>
    <w:rsid w:val="00F15881"/>
    <w:rPr>
      <w:sz w:val="20"/>
      <w:szCs w:val="20"/>
    </w:rPr>
  </w:style>
  <w:style w:type="character" w:customStyle="1" w:styleId="EndnoteTextChar">
    <w:name w:val="Endnote Text Char"/>
    <w:basedOn w:val="DefaultParagraphFont"/>
    <w:link w:val="EndnoteText"/>
    <w:uiPriority w:val="99"/>
    <w:semiHidden/>
    <w:rsid w:val="00F15881"/>
    <w:rPr>
      <w:rFonts w:ascii="Calibri" w:eastAsia="Calibri" w:hAnsi="Calibri" w:cs="Calibri"/>
      <w:sz w:val="20"/>
      <w:szCs w:val="20"/>
    </w:rPr>
  </w:style>
  <w:style w:type="character" w:styleId="EndnoteReference">
    <w:name w:val="endnote reference"/>
    <w:basedOn w:val="DefaultParagraphFont"/>
    <w:uiPriority w:val="99"/>
    <w:semiHidden/>
    <w:unhideWhenUsed/>
    <w:rsid w:val="00F15881"/>
    <w:rPr>
      <w:vertAlign w:val="superscript"/>
    </w:rPr>
  </w:style>
  <w:style w:type="paragraph" w:customStyle="1" w:styleId="xl65">
    <w:name w:val="xl65"/>
    <w:basedOn w:val="Normal"/>
    <w:rsid w:val="004F0E8A"/>
    <w:pPr>
      <w:widowControl/>
      <w:autoSpaceDE/>
      <w:autoSpaceDN/>
      <w:spacing w:before="100" w:beforeAutospacing="1" w:after="100" w:afterAutospacing="1"/>
      <w:textAlignment w:val="top"/>
    </w:pPr>
    <w:rPr>
      <w:rFonts w:ascii="Times New Roman" w:eastAsia="Times New Roman" w:hAnsi="Times New Roman" w:cs="Times New Roman"/>
      <w:szCs w:val="24"/>
      <w:lang w:val="en-GB" w:eastAsia="en-GB"/>
    </w:rPr>
  </w:style>
  <w:style w:type="paragraph" w:customStyle="1" w:styleId="xl66">
    <w:name w:val="xl66"/>
    <w:basedOn w:val="Normal"/>
    <w:rsid w:val="004F0E8A"/>
    <w:pPr>
      <w:widowControl/>
      <w:pBdr>
        <w:top w:val="single" w:sz="4" w:space="0" w:color="A5A5A5"/>
        <w:left w:val="single" w:sz="4" w:space="0" w:color="A5A5A5"/>
      </w:pBdr>
      <w:autoSpaceDE/>
      <w:autoSpaceDN/>
      <w:spacing w:before="100" w:beforeAutospacing="1" w:after="100" w:afterAutospacing="1"/>
      <w:textAlignment w:val="top"/>
    </w:pPr>
    <w:rPr>
      <w:rFonts w:ascii="Times New Roman" w:eastAsia="Times New Roman" w:hAnsi="Times New Roman" w:cs="Times New Roman"/>
      <w:b/>
      <w:bCs/>
      <w:szCs w:val="24"/>
      <w:lang w:val="en-GB" w:eastAsia="en-GB"/>
    </w:rPr>
  </w:style>
  <w:style w:type="paragraph" w:customStyle="1" w:styleId="xl67">
    <w:name w:val="xl67"/>
    <w:basedOn w:val="Normal"/>
    <w:rsid w:val="004F0E8A"/>
    <w:pPr>
      <w:widowControl/>
      <w:pBdr>
        <w:top w:val="single" w:sz="4" w:space="0" w:color="A5A5A5"/>
        <w:left w:val="single" w:sz="4" w:space="0" w:color="A5A5A5"/>
        <w:right w:val="single" w:sz="4" w:space="0" w:color="A5A5A5"/>
      </w:pBdr>
      <w:autoSpaceDE/>
      <w:autoSpaceDN/>
      <w:spacing w:before="100" w:beforeAutospacing="1" w:after="100" w:afterAutospacing="1"/>
      <w:textAlignment w:val="top"/>
    </w:pPr>
    <w:rPr>
      <w:rFonts w:ascii="Times New Roman" w:eastAsia="Times New Roman" w:hAnsi="Times New Roman" w:cs="Times New Roman"/>
      <w:b/>
      <w:bCs/>
      <w:szCs w:val="24"/>
      <w:lang w:val="en-GB" w:eastAsia="en-GB"/>
    </w:rPr>
  </w:style>
  <w:style w:type="paragraph" w:customStyle="1" w:styleId="xl68">
    <w:name w:val="xl68"/>
    <w:basedOn w:val="Normal"/>
    <w:rsid w:val="004F0E8A"/>
    <w:pPr>
      <w:widowControl/>
      <w:pBdr>
        <w:top w:val="single" w:sz="8" w:space="0" w:color="A5A5A5"/>
        <w:left w:val="single" w:sz="4" w:space="0" w:color="A5A5A5"/>
      </w:pBdr>
      <w:shd w:val="clear" w:color="EDEDED" w:fill="EDEDED"/>
      <w:autoSpaceDE/>
      <w:autoSpaceDN/>
      <w:spacing w:before="100" w:beforeAutospacing="1" w:after="100" w:afterAutospacing="1"/>
      <w:textAlignment w:val="top"/>
    </w:pPr>
    <w:rPr>
      <w:rFonts w:ascii="Times New Roman" w:eastAsia="Times New Roman" w:hAnsi="Times New Roman" w:cs="Times New Roman"/>
      <w:szCs w:val="24"/>
      <w:lang w:val="en-GB" w:eastAsia="en-GB"/>
    </w:rPr>
  </w:style>
  <w:style w:type="paragraph" w:customStyle="1" w:styleId="xl69">
    <w:name w:val="xl69"/>
    <w:basedOn w:val="Normal"/>
    <w:rsid w:val="004F0E8A"/>
    <w:pPr>
      <w:widowControl/>
      <w:pBdr>
        <w:top w:val="single" w:sz="8" w:space="0" w:color="A5A5A5"/>
        <w:left w:val="single" w:sz="4" w:space="0" w:color="A5A5A5"/>
      </w:pBdr>
      <w:shd w:val="clear" w:color="EDEDED" w:fill="EDEDED"/>
      <w:autoSpaceDE/>
      <w:autoSpaceDN/>
      <w:spacing w:before="100" w:beforeAutospacing="1" w:after="100" w:afterAutospacing="1"/>
      <w:textAlignment w:val="top"/>
    </w:pPr>
    <w:rPr>
      <w:rFonts w:ascii="Times New Roman" w:eastAsia="Times New Roman" w:hAnsi="Times New Roman" w:cs="Times New Roman"/>
      <w:szCs w:val="24"/>
      <w:lang w:val="en-GB" w:eastAsia="en-GB"/>
    </w:rPr>
  </w:style>
  <w:style w:type="paragraph" w:customStyle="1" w:styleId="xl70">
    <w:name w:val="xl70"/>
    <w:basedOn w:val="Normal"/>
    <w:rsid w:val="004F0E8A"/>
    <w:pPr>
      <w:widowControl/>
      <w:pBdr>
        <w:top w:val="single" w:sz="8" w:space="0" w:color="A5A5A5"/>
        <w:left w:val="single" w:sz="4" w:space="0" w:color="A5A5A5"/>
        <w:right w:val="single" w:sz="4" w:space="0" w:color="A5A5A5"/>
      </w:pBdr>
      <w:shd w:val="clear" w:color="EDEDED" w:fill="EDEDED"/>
      <w:autoSpaceDE/>
      <w:autoSpaceDN/>
      <w:spacing w:before="100" w:beforeAutospacing="1" w:after="100" w:afterAutospacing="1"/>
      <w:textAlignment w:val="top"/>
    </w:pPr>
    <w:rPr>
      <w:rFonts w:ascii="Times New Roman" w:eastAsia="Times New Roman" w:hAnsi="Times New Roman" w:cs="Times New Roman"/>
      <w:szCs w:val="24"/>
      <w:lang w:val="en-GB" w:eastAsia="en-GB"/>
    </w:rPr>
  </w:style>
  <w:style w:type="paragraph" w:customStyle="1" w:styleId="xl71">
    <w:name w:val="xl71"/>
    <w:basedOn w:val="Normal"/>
    <w:rsid w:val="004F0E8A"/>
    <w:pPr>
      <w:widowControl/>
      <w:pBdr>
        <w:top w:val="single" w:sz="4" w:space="0" w:color="A5A5A5"/>
        <w:left w:val="single" w:sz="4" w:space="0" w:color="A5A5A5"/>
      </w:pBdr>
      <w:autoSpaceDE/>
      <w:autoSpaceDN/>
      <w:spacing w:before="100" w:beforeAutospacing="1" w:after="100" w:afterAutospacing="1"/>
      <w:textAlignment w:val="top"/>
    </w:pPr>
    <w:rPr>
      <w:rFonts w:ascii="Times New Roman" w:eastAsia="Times New Roman" w:hAnsi="Times New Roman" w:cs="Times New Roman"/>
      <w:szCs w:val="24"/>
      <w:lang w:val="en-GB" w:eastAsia="en-GB"/>
    </w:rPr>
  </w:style>
  <w:style w:type="paragraph" w:customStyle="1" w:styleId="xl72">
    <w:name w:val="xl72"/>
    <w:basedOn w:val="Normal"/>
    <w:rsid w:val="004F0E8A"/>
    <w:pPr>
      <w:widowControl/>
      <w:pBdr>
        <w:top w:val="single" w:sz="4" w:space="0" w:color="A5A5A5"/>
        <w:left w:val="single" w:sz="4" w:space="0" w:color="A5A5A5"/>
      </w:pBdr>
      <w:autoSpaceDE/>
      <w:autoSpaceDN/>
      <w:spacing w:before="100" w:beforeAutospacing="1" w:after="100" w:afterAutospacing="1"/>
      <w:textAlignment w:val="top"/>
    </w:pPr>
    <w:rPr>
      <w:rFonts w:ascii="Times New Roman" w:eastAsia="Times New Roman" w:hAnsi="Times New Roman" w:cs="Times New Roman"/>
      <w:szCs w:val="24"/>
      <w:lang w:val="en-GB" w:eastAsia="en-GB"/>
    </w:rPr>
  </w:style>
  <w:style w:type="paragraph" w:customStyle="1" w:styleId="xl81">
    <w:name w:val="xl81"/>
    <w:basedOn w:val="Normal"/>
    <w:rsid w:val="004F0E8A"/>
    <w:pPr>
      <w:widowControl/>
      <w:pBdr>
        <w:top w:val="single" w:sz="4" w:space="0" w:color="A5A5A5"/>
        <w:left w:val="single" w:sz="4" w:space="0" w:color="A5A5A5"/>
        <w:bottom w:val="single" w:sz="4" w:space="0" w:color="A5A5A5"/>
      </w:pBdr>
      <w:shd w:val="clear" w:color="EDEDED" w:fill="EDEDED"/>
      <w:autoSpaceDE/>
      <w:autoSpaceDN/>
      <w:spacing w:before="100" w:beforeAutospacing="1" w:after="100" w:afterAutospacing="1"/>
      <w:textAlignment w:val="top"/>
    </w:pPr>
    <w:rPr>
      <w:rFonts w:ascii="Times New Roman" w:eastAsia="Times New Roman" w:hAnsi="Times New Roman" w:cs="Times New Roman"/>
      <w:szCs w:val="24"/>
      <w:lang w:val="en-GB" w:eastAsia="en-GB"/>
    </w:rPr>
  </w:style>
  <w:style w:type="paragraph" w:customStyle="1" w:styleId="xl82">
    <w:name w:val="xl82"/>
    <w:basedOn w:val="Normal"/>
    <w:rsid w:val="004F0E8A"/>
    <w:pPr>
      <w:widowControl/>
      <w:pBdr>
        <w:top w:val="single" w:sz="4" w:space="0" w:color="A5A5A5"/>
        <w:left w:val="single" w:sz="4" w:space="0" w:color="A5A5A5"/>
        <w:bottom w:val="single" w:sz="4" w:space="0" w:color="A5A5A5"/>
      </w:pBdr>
      <w:shd w:val="clear" w:color="EDEDED" w:fill="EDEDED"/>
      <w:autoSpaceDE/>
      <w:autoSpaceDN/>
      <w:spacing w:before="100" w:beforeAutospacing="1" w:after="100" w:afterAutospacing="1"/>
      <w:textAlignment w:val="top"/>
    </w:pPr>
    <w:rPr>
      <w:rFonts w:ascii="Times New Roman" w:eastAsia="Times New Roman" w:hAnsi="Times New Roman" w:cs="Times New Roman"/>
      <w:szCs w:val="24"/>
      <w:lang w:val="en-GB" w:eastAsia="en-GB"/>
    </w:rPr>
  </w:style>
  <w:style w:type="paragraph" w:customStyle="1" w:styleId="xl83">
    <w:name w:val="xl83"/>
    <w:basedOn w:val="Normal"/>
    <w:rsid w:val="004F0E8A"/>
    <w:pPr>
      <w:widowControl/>
      <w:pBdr>
        <w:top w:val="single" w:sz="4" w:space="0" w:color="A5A5A5"/>
        <w:left w:val="single" w:sz="4" w:space="0" w:color="A5A5A5"/>
        <w:bottom w:val="single" w:sz="4" w:space="0" w:color="A5A5A5"/>
        <w:right w:val="single" w:sz="4" w:space="0" w:color="A5A5A5"/>
      </w:pBdr>
      <w:shd w:val="clear" w:color="EDEDED" w:fill="EDEDED"/>
      <w:autoSpaceDE/>
      <w:autoSpaceDN/>
      <w:spacing w:before="100" w:beforeAutospacing="1" w:after="100" w:afterAutospacing="1"/>
      <w:textAlignment w:val="top"/>
    </w:pPr>
    <w:rPr>
      <w:rFonts w:ascii="Times New Roman" w:eastAsia="Times New Roman" w:hAnsi="Times New Roman" w:cs="Times New Roman"/>
      <w:szCs w:val="24"/>
      <w:lang w:val="en-GB" w:eastAsia="en-GB"/>
    </w:rPr>
  </w:style>
  <w:style w:type="paragraph" w:customStyle="1" w:styleId="xl84">
    <w:name w:val="xl84"/>
    <w:basedOn w:val="Normal"/>
    <w:rsid w:val="004F0E8A"/>
    <w:pPr>
      <w:widowControl/>
      <w:pBdr>
        <w:left w:val="single" w:sz="4" w:space="0" w:color="A5A5A5"/>
        <w:bottom w:val="single" w:sz="4" w:space="0" w:color="A5A5A5"/>
        <w:right w:val="single" w:sz="4" w:space="0" w:color="A5A5A5"/>
      </w:pBdr>
      <w:shd w:val="clear" w:color="EDEDED" w:fill="EDEDED"/>
      <w:autoSpaceDE/>
      <w:autoSpaceDN/>
      <w:spacing w:before="100" w:beforeAutospacing="1" w:after="100" w:afterAutospacing="1"/>
      <w:textAlignment w:val="top"/>
    </w:pPr>
    <w:rPr>
      <w:rFonts w:ascii="Times New Roman" w:eastAsia="Times New Roman" w:hAnsi="Times New Roman" w:cs="Times New Roman"/>
      <w:szCs w:val="24"/>
      <w:lang w:val="en-GB" w:eastAsia="en-GB"/>
    </w:rPr>
  </w:style>
  <w:style w:type="character" w:styleId="PlaceholderText">
    <w:name w:val="Placeholder Text"/>
    <w:basedOn w:val="DefaultParagraphFont"/>
    <w:uiPriority w:val="99"/>
    <w:semiHidden/>
    <w:rsid w:val="00AF0021"/>
    <w:rPr>
      <w:color w:val="666666"/>
    </w:rPr>
  </w:style>
  <w:style w:type="paragraph" w:customStyle="1" w:styleId="xl85">
    <w:name w:val="xl85"/>
    <w:basedOn w:val="Normal"/>
    <w:rsid w:val="00D925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ascii="Times New Roman" w:eastAsia="Times New Roman" w:hAnsi="Times New Roman" w:cs="Times New Roman"/>
      <w:sz w:val="20"/>
      <w:szCs w:val="20"/>
      <w:lang w:val="en-GB" w:eastAsia="en-GB"/>
    </w:rPr>
  </w:style>
  <w:style w:type="paragraph" w:customStyle="1" w:styleId="xl86">
    <w:name w:val="xl86"/>
    <w:basedOn w:val="Normal"/>
    <w:rsid w:val="00D9252C"/>
    <w:pPr>
      <w:widowControl/>
      <w:autoSpaceDE/>
      <w:autoSpaceDN/>
      <w:spacing w:before="100" w:beforeAutospacing="1" w:after="100" w:afterAutospacing="1"/>
      <w:textAlignment w:val="top"/>
    </w:pPr>
    <w:rPr>
      <w:rFonts w:ascii="Times New Roman" w:eastAsia="Times New Roman" w:hAnsi="Times New Roman" w:cs="Times New Roman"/>
      <w:sz w:val="20"/>
      <w:szCs w:val="20"/>
      <w:lang w:val="en-GB" w:eastAsia="en-GB"/>
    </w:rPr>
  </w:style>
  <w:style w:type="paragraph" w:customStyle="1" w:styleId="xl87">
    <w:name w:val="xl87"/>
    <w:basedOn w:val="Normal"/>
    <w:rsid w:val="00D9252C"/>
    <w:pPr>
      <w:widowControl/>
      <w:autoSpaceDE/>
      <w:autoSpaceDN/>
      <w:spacing w:before="100" w:beforeAutospacing="1" w:after="100" w:afterAutospacing="1"/>
      <w:textAlignment w:val="top"/>
    </w:pPr>
    <w:rPr>
      <w:rFonts w:ascii="Times New Roman" w:eastAsia="Times New Roman" w:hAnsi="Times New Roman" w:cs="Times New Roman"/>
      <w:b/>
      <w:bCs/>
      <w:sz w:val="20"/>
      <w:szCs w:val="20"/>
      <w:lang w:val="en-GB" w:eastAsia="en-GB"/>
    </w:rPr>
  </w:style>
  <w:style w:type="paragraph" w:customStyle="1" w:styleId="xl88">
    <w:name w:val="xl88"/>
    <w:basedOn w:val="Normal"/>
    <w:rsid w:val="00D9252C"/>
    <w:pPr>
      <w:widowControl/>
      <w:autoSpaceDE/>
      <w:autoSpaceDN/>
      <w:spacing w:before="100" w:beforeAutospacing="1" w:after="100" w:afterAutospacing="1"/>
      <w:textAlignment w:val="top"/>
    </w:pPr>
    <w:rPr>
      <w:rFonts w:ascii="Times New Roman" w:eastAsia="Times New Roman" w:hAnsi="Times New Roman" w:cs="Times New Roman"/>
      <w:b/>
      <w:bCs/>
      <w:sz w:val="20"/>
      <w:szCs w:val="20"/>
      <w:lang w:val="en-GB" w:eastAsia="en-GB"/>
    </w:rPr>
  </w:style>
  <w:style w:type="paragraph" w:customStyle="1" w:styleId="xl89">
    <w:name w:val="xl89"/>
    <w:basedOn w:val="Normal"/>
    <w:rsid w:val="00D925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b/>
      <w:bCs/>
      <w:sz w:val="20"/>
      <w:szCs w:val="20"/>
      <w:lang w:val="en-GB" w:eastAsia="en-GB"/>
    </w:rPr>
  </w:style>
  <w:style w:type="paragraph" w:customStyle="1" w:styleId="xl90">
    <w:name w:val="xl90"/>
    <w:basedOn w:val="Normal"/>
    <w:rsid w:val="00D925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sz w:val="20"/>
      <w:szCs w:val="20"/>
      <w:lang w:val="en-GB" w:eastAsia="en-GB"/>
    </w:rPr>
  </w:style>
  <w:style w:type="paragraph" w:customStyle="1" w:styleId="xl91">
    <w:name w:val="xl91"/>
    <w:basedOn w:val="Normal"/>
    <w:rsid w:val="00D9252C"/>
    <w:pPr>
      <w:widowControl/>
      <w:autoSpaceDE/>
      <w:autoSpaceDN/>
      <w:spacing w:before="100" w:beforeAutospacing="1" w:after="100" w:afterAutospacing="1"/>
      <w:textAlignment w:val="top"/>
    </w:pPr>
    <w:rPr>
      <w:rFonts w:ascii="Times New Roman" w:eastAsia="Times New Roman" w:hAnsi="Times New Roman" w:cs="Times New Roman"/>
      <w:szCs w:val="24"/>
      <w:lang w:val="en-GB" w:eastAsia="en-GB"/>
    </w:rPr>
  </w:style>
  <w:style w:type="paragraph" w:customStyle="1" w:styleId="xl92">
    <w:name w:val="xl92"/>
    <w:basedOn w:val="Normal"/>
    <w:rsid w:val="00D9252C"/>
    <w:pPr>
      <w:widowControl/>
      <w:autoSpaceDE/>
      <w:autoSpaceDN/>
      <w:spacing w:before="100" w:beforeAutospacing="1" w:after="100" w:afterAutospacing="1"/>
      <w:textAlignment w:val="top"/>
    </w:pPr>
    <w:rPr>
      <w:rFonts w:ascii="Times New Roman" w:eastAsia="Times New Roman" w:hAnsi="Times New Roman" w:cs="Times New Roman"/>
      <w:sz w:val="20"/>
      <w:szCs w:val="20"/>
      <w:lang w:val="en-GB" w:eastAsia="en-GB"/>
    </w:rPr>
  </w:style>
  <w:style w:type="paragraph" w:customStyle="1" w:styleId="xl93">
    <w:name w:val="xl93"/>
    <w:basedOn w:val="Normal"/>
    <w:rsid w:val="00D9252C"/>
    <w:pPr>
      <w:widowControl/>
      <w:pBdr>
        <w:left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b/>
      <w:bCs/>
      <w:sz w:val="20"/>
      <w:szCs w:val="20"/>
      <w:lang w:val="en-GB" w:eastAsia="en-GB"/>
    </w:rPr>
  </w:style>
  <w:style w:type="paragraph" w:customStyle="1" w:styleId="xl94">
    <w:name w:val="xl94"/>
    <w:basedOn w:val="Normal"/>
    <w:rsid w:val="00D9252C"/>
    <w:pPr>
      <w:widowControl/>
      <w:autoSpaceDE/>
      <w:autoSpaceDN/>
      <w:spacing w:before="100" w:beforeAutospacing="1" w:after="100" w:afterAutospacing="1"/>
      <w:textAlignment w:val="top"/>
    </w:pPr>
    <w:rPr>
      <w:rFonts w:ascii="Times New Roman" w:eastAsia="Times New Roman" w:hAnsi="Times New Roman" w:cs="Times New Roman"/>
      <w:b/>
      <w:bCs/>
      <w:szCs w:val="24"/>
      <w:lang w:val="en-GB" w:eastAsia="en-GB"/>
    </w:rPr>
  </w:style>
  <w:style w:type="table" w:styleId="ListTable1Light">
    <w:name w:val="List Table 1 Light"/>
    <w:basedOn w:val="TableNormal"/>
    <w:uiPriority w:val="46"/>
    <w:rsid w:val="00D6202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1166">
      <w:bodyDiv w:val="1"/>
      <w:marLeft w:val="0"/>
      <w:marRight w:val="0"/>
      <w:marTop w:val="0"/>
      <w:marBottom w:val="0"/>
      <w:divBdr>
        <w:top w:val="none" w:sz="0" w:space="0" w:color="auto"/>
        <w:left w:val="none" w:sz="0" w:space="0" w:color="auto"/>
        <w:bottom w:val="none" w:sz="0" w:space="0" w:color="auto"/>
        <w:right w:val="none" w:sz="0" w:space="0" w:color="auto"/>
      </w:divBdr>
    </w:div>
    <w:div w:id="86659161">
      <w:bodyDiv w:val="1"/>
      <w:marLeft w:val="0"/>
      <w:marRight w:val="0"/>
      <w:marTop w:val="0"/>
      <w:marBottom w:val="0"/>
      <w:divBdr>
        <w:top w:val="none" w:sz="0" w:space="0" w:color="auto"/>
        <w:left w:val="none" w:sz="0" w:space="0" w:color="auto"/>
        <w:bottom w:val="none" w:sz="0" w:space="0" w:color="auto"/>
        <w:right w:val="none" w:sz="0" w:space="0" w:color="auto"/>
      </w:divBdr>
    </w:div>
    <w:div w:id="182205739">
      <w:bodyDiv w:val="1"/>
      <w:marLeft w:val="0"/>
      <w:marRight w:val="0"/>
      <w:marTop w:val="0"/>
      <w:marBottom w:val="0"/>
      <w:divBdr>
        <w:top w:val="none" w:sz="0" w:space="0" w:color="auto"/>
        <w:left w:val="none" w:sz="0" w:space="0" w:color="auto"/>
        <w:bottom w:val="none" w:sz="0" w:space="0" w:color="auto"/>
        <w:right w:val="none" w:sz="0" w:space="0" w:color="auto"/>
      </w:divBdr>
    </w:div>
    <w:div w:id="322976891">
      <w:bodyDiv w:val="1"/>
      <w:marLeft w:val="0"/>
      <w:marRight w:val="0"/>
      <w:marTop w:val="0"/>
      <w:marBottom w:val="0"/>
      <w:divBdr>
        <w:top w:val="none" w:sz="0" w:space="0" w:color="auto"/>
        <w:left w:val="none" w:sz="0" w:space="0" w:color="auto"/>
        <w:bottom w:val="none" w:sz="0" w:space="0" w:color="auto"/>
        <w:right w:val="none" w:sz="0" w:space="0" w:color="auto"/>
      </w:divBdr>
    </w:div>
    <w:div w:id="572472419">
      <w:bodyDiv w:val="1"/>
      <w:marLeft w:val="0"/>
      <w:marRight w:val="0"/>
      <w:marTop w:val="0"/>
      <w:marBottom w:val="0"/>
      <w:divBdr>
        <w:top w:val="none" w:sz="0" w:space="0" w:color="auto"/>
        <w:left w:val="none" w:sz="0" w:space="0" w:color="auto"/>
        <w:bottom w:val="none" w:sz="0" w:space="0" w:color="auto"/>
        <w:right w:val="none" w:sz="0" w:space="0" w:color="auto"/>
      </w:divBdr>
      <w:divsChild>
        <w:div w:id="60490447">
          <w:marLeft w:val="0"/>
          <w:marRight w:val="0"/>
          <w:marTop w:val="0"/>
          <w:marBottom w:val="0"/>
          <w:divBdr>
            <w:top w:val="none" w:sz="0" w:space="0" w:color="auto"/>
            <w:left w:val="none" w:sz="0" w:space="0" w:color="auto"/>
            <w:bottom w:val="none" w:sz="0" w:space="0" w:color="auto"/>
            <w:right w:val="none" w:sz="0" w:space="0" w:color="auto"/>
          </w:divBdr>
          <w:divsChild>
            <w:div w:id="247733433">
              <w:marLeft w:val="0"/>
              <w:marRight w:val="0"/>
              <w:marTop w:val="0"/>
              <w:marBottom w:val="0"/>
              <w:divBdr>
                <w:top w:val="none" w:sz="0" w:space="0" w:color="auto"/>
                <w:left w:val="none" w:sz="0" w:space="0" w:color="auto"/>
                <w:bottom w:val="none" w:sz="0" w:space="0" w:color="auto"/>
                <w:right w:val="none" w:sz="0" w:space="0" w:color="auto"/>
              </w:divBdr>
            </w:div>
          </w:divsChild>
        </w:div>
        <w:div w:id="110977373">
          <w:marLeft w:val="0"/>
          <w:marRight w:val="0"/>
          <w:marTop w:val="0"/>
          <w:marBottom w:val="0"/>
          <w:divBdr>
            <w:top w:val="none" w:sz="0" w:space="0" w:color="auto"/>
            <w:left w:val="none" w:sz="0" w:space="0" w:color="auto"/>
            <w:bottom w:val="none" w:sz="0" w:space="0" w:color="auto"/>
            <w:right w:val="none" w:sz="0" w:space="0" w:color="auto"/>
          </w:divBdr>
          <w:divsChild>
            <w:div w:id="780994614">
              <w:marLeft w:val="0"/>
              <w:marRight w:val="0"/>
              <w:marTop w:val="0"/>
              <w:marBottom w:val="0"/>
              <w:divBdr>
                <w:top w:val="none" w:sz="0" w:space="0" w:color="auto"/>
                <w:left w:val="none" w:sz="0" w:space="0" w:color="auto"/>
                <w:bottom w:val="none" w:sz="0" w:space="0" w:color="auto"/>
                <w:right w:val="none" w:sz="0" w:space="0" w:color="auto"/>
              </w:divBdr>
            </w:div>
          </w:divsChild>
        </w:div>
        <w:div w:id="196281378">
          <w:marLeft w:val="0"/>
          <w:marRight w:val="0"/>
          <w:marTop w:val="0"/>
          <w:marBottom w:val="0"/>
          <w:divBdr>
            <w:top w:val="none" w:sz="0" w:space="0" w:color="auto"/>
            <w:left w:val="none" w:sz="0" w:space="0" w:color="auto"/>
            <w:bottom w:val="none" w:sz="0" w:space="0" w:color="auto"/>
            <w:right w:val="none" w:sz="0" w:space="0" w:color="auto"/>
          </w:divBdr>
          <w:divsChild>
            <w:div w:id="159977480">
              <w:marLeft w:val="0"/>
              <w:marRight w:val="0"/>
              <w:marTop w:val="0"/>
              <w:marBottom w:val="0"/>
              <w:divBdr>
                <w:top w:val="none" w:sz="0" w:space="0" w:color="auto"/>
                <w:left w:val="none" w:sz="0" w:space="0" w:color="auto"/>
                <w:bottom w:val="none" w:sz="0" w:space="0" w:color="auto"/>
                <w:right w:val="none" w:sz="0" w:space="0" w:color="auto"/>
              </w:divBdr>
            </w:div>
          </w:divsChild>
        </w:div>
        <w:div w:id="227738451">
          <w:marLeft w:val="0"/>
          <w:marRight w:val="0"/>
          <w:marTop w:val="0"/>
          <w:marBottom w:val="0"/>
          <w:divBdr>
            <w:top w:val="none" w:sz="0" w:space="0" w:color="auto"/>
            <w:left w:val="none" w:sz="0" w:space="0" w:color="auto"/>
            <w:bottom w:val="none" w:sz="0" w:space="0" w:color="auto"/>
            <w:right w:val="none" w:sz="0" w:space="0" w:color="auto"/>
          </w:divBdr>
          <w:divsChild>
            <w:div w:id="384256382">
              <w:marLeft w:val="0"/>
              <w:marRight w:val="0"/>
              <w:marTop w:val="0"/>
              <w:marBottom w:val="0"/>
              <w:divBdr>
                <w:top w:val="none" w:sz="0" w:space="0" w:color="auto"/>
                <w:left w:val="none" w:sz="0" w:space="0" w:color="auto"/>
                <w:bottom w:val="none" w:sz="0" w:space="0" w:color="auto"/>
                <w:right w:val="none" w:sz="0" w:space="0" w:color="auto"/>
              </w:divBdr>
            </w:div>
          </w:divsChild>
        </w:div>
        <w:div w:id="231888612">
          <w:marLeft w:val="0"/>
          <w:marRight w:val="0"/>
          <w:marTop w:val="0"/>
          <w:marBottom w:val="0"/>
          <w:divBdr>
            <w:top w:val="none" w:sz="0" w:space="0" w:color="auto"/>
            <w:left w:val="none" w:sz="0" w:space="0" w:color="auto"/>
            <w:bottom w:val="none" w:sz="0" w:space="0" w:color="auto"/>
            <w:right w:val="none" w:sz="0" w:space="0" w:color="auto"/>
          </w:divBdr>
          <w:divsChild>
            <w:div w:id="720832413">
              <w:marLeft w:val="0"/>
              <w:marRight w:val="0"/>
              <w:marTop w:val="0"/>
              <w:marBottom w:val="0"/>
              <w:divBdr>
                <w:top w:val="none" w:sz="0" w:space="0" w:color="auto"/>
                <w:left w:val="none" w:sz="0" w:space="0" w:color="auto"/>
                <w:bottom w:val="none" w:sz="0" w:space="0" w:color="auto"/>
                <w:right w:val="none" w:sz="0" w:space="0" w:color="auto"/>
              </w:divBdr>
            </w:div>
          </w:divsChild>
        </w:div>
        <w:div w:id="239801451">
          <w:marLeft w:val="0"/>
          <w:marRight w:val="0"/>
          <w:marTop w:val="0"/>
          <w:marBottom w:val="0"/>
          <w:divBdr>
            <w:top w:val="none" w:sz="0" w:space="0" w:color="auto"/>
            <w:left w:val="none" w:sz="0" w:space="0" w:color="auto"/>
            <w:bottom w:val="none" w:sz="0" w:space="0" w:color="auto"/>
            <w:right w:val="none" w:sz="0" w:space="0" w:color="auto"/>
          </w:divBdr>
          <w:divsChild>
            <w:div w:id="1771316530">
              <w:marLeft w:val="0"/>
              <w:marRight w:val="0"/>
              <w:marTop w:val="0"/>
              <w:marBottom w:val="0"/>
              <w:divBdr>
                <w:top w:val="none" w:sz="0" w:space="0" w:color="auto"/>
                <w:left w:val="none" w:sz="0" w:space="0" w:color="auto"/>
                <w:bottom w:val="none" w:sz="0" w:space="0" w:color="auto"/>
                <w:right w:val="none" w:sz="0" w:space="0" w:color="auto"/>
              </w:divBdr>
            </w:div>
          </w:divsChild>
        </w:div>
        <w:div w:id="266935733">
          <w:marLeft w:val="0"/>
          <w:marRight w:val="0"/>
          <w:marTop w:val="0"/>
          <w:marBottom w:val="0"/>
          <w:divBdr>
            <w:top w:val="none" w:sz="0" w:space="0" w:color="auto"/>
            <w:left w:val="none" w:sz="0" w:space="0" w:color="auto"/>
            <w:bottom w:val="none" w:sz="0" w:space="0" w:color="auto"/>
            <w:right w:val="none" w:sz="0" w:space="0" w:color="auto"/>
          </w:divBdr>
          <w:divsChild>
            <w:div w:id="1380789411">
              <w:marLeft w:val="0"/>
              <w:marRight w:val="0"/>
              <w:marTop w:val="0"/>
              <w:marBottom w:val="0"/>
              <w:divBdr>
                <w:top w:val="none" w:sz="0" w:space="0" w:color="auto"/>
                <w:left w:val="none" w:sz="0" w:space="0" w:color="auto"/>
                <w:bottom w:val="none" w:sz="0" w:space="0" w:color="auto"/>
                <w:right w:val="none" w:sz="0" w:space="0" w:color="auto"/>
              </w:divBdr>
            </w:div>
          </w:divsChild>
        </w:div>
        <w:div w:id="286618376">
          <w:marLeft w:val="0"/>
          <w:marRight w:val="0"/>
          <w:marTop w:val="0"/>
          <w:marBottom w:val="0"/>
          <w:divBdr>
            <w:top w:val="none" w:sz="0" w:space="0" w:color="auto"/>
            <w:left w:val="none" w:sz="0" w:space="0" w:color="auto"/>
            <w:bottom w:val="none" w:sz="0" w:space="0" w:color="auto"/>
            <w:right w:val="none" w:sz="0" w:space="0" w:color="auto"/>
          </w:divBdr>
          <w:divsChild>
            <w:div w:id="1652706934">
              <w:marLeft w:val="0"/>
              <w:marRight w:val="0"/>
              <w:marTop w:val="0"/>
              <w:marBottom w:val="0"/>
              <w:divBdr>
                <w:top w:val="none" w:sz="0" w:space="0" w:color="auto"/>
                <w:left w:val="none" w:sz="0" w:space="0" w:color="auto"/>
                <w:bottom w:val="none" w:sz="0" w:space="0" w:color="auto"/>
                <w:right w:val="none" w:sz="0" w:space="0" w:color="auto"/>
              </w:divBdr>
            </w:div>
          </w:divsChild>
        </w:div>
        <w:div w:id="290063928">
          <w:marLeft w:val="0"/>
          <w:marRight w:val="0"/>
          <w:marTop w:val="0"/>
          <w:marBottom w:val="0"/>
          <w:divBdr>
            <w:top w:val="none" w:sz="0" w:space="0" w:color="auto"/>
            <w:left w:val="none" w:sz="0" w:space="0" w:color="auto"/>
            <w:bottom w:val="none" w:sz="0" w:space="0" w:color="auto"/>
            <w:right w:val="none" w:sz="0" w:space="0" w:color="auto"/>
          </w:divBdr>
          <w:divsChild>
            <w:div w:id="861285503">
              <w:marLeft w:val="0"/>
              <w:marRight w:val="0"/>
              <w:marTop w:val="0"/>
              <w:marBottom w:val="0"/>
              <w:divBdr>
                <w:top w:val="none" w:sz="0" w:space="0" w:color="auto"/>
                <w:left w:val="none" w:sz="0" w:space="0" w:color="auto"/>
                <w:bottom w:val="none" w:sz="0" w:space="0" w:color="auto"/>
                <w:right w:val="none" w:sz="0" w:space="0" w:color="auto"/>
              </w:divBdr>
            </w:div>
          </w:divsChild>
        </w:div>
        <w:div w:id="290327176">
          <w:marLeft w:val="0"/>
          <w:marRight w:val="0"/>
          <w:marTop w:val="0"/>
          <w:marBottom w:val="0"/>
          <w:divBdr>
            <w:top w:val="none" w:sz="0" w:space="0" w:color="auto"/>
            <w:left w:val="none" w:sz="0" w:space="0" w:color="auto"/>
            <w:bottom w:val="none" w:sz="0" w:space="0" w:color="auto"/>
            <w:right w:val="none" w:sz="0" w:space="0" w:color="auto"/>
          </w:divBdr>
          <w:divsChild>
            <w:div w:id="2061711945">
              <w:marLeft w:val="0"/>
              <w:marRight w:val="0"/>
              <w:marTop w:val="0"/>
              <w:marBottom w:val="0"/>
              <w:divBdr>
                <w:top w:val="none" w:sz="0" w:space="0" w:color="auto"/>
                <w:left w:val="none" w:sz="0" w:space="0" w:color="auto"/>
                <w:bottom w:val="none" w:sz="0" w:space="0" w:color="auto"/>
                <w:right w:val="none" w:sz="0" w:space="0" w:color="auto"/>
              </w:divBdr>
            </w:div>
          </w:divsChild>
        </w:div>
        <w:div w:id="301084191">
          <w:marLeft w:val="0"/>
          <w:marRight w:val="0"/>
          <w:marTop w:val="0"/>
          <w:marBottom w:val="0"/>
          <w:divBdr>
            <w:top w:val="none" w:sz="0" w:space="0" w:color="auto"/>
            <w:left w:val="none" w:sz="0" w:space="0" w:color="auto"/>
            <w:bottom w:val="none" w:sz="0" w:space="0" w:color="auto"/>
            <w:right w:val="none" w:sz="0" w:space="0" w:color="auto"/>
          </w:divBdr>
          <w:divsChild>
            <w:div w:id="1381519803">
              <w:marLeft w:val="0"/>
              <w:marRight w:val="0"/>
              <w:marTop w:val="0"/>
              <w:marBottom w:val="0"/>
              <w:divBdr>
                <w:top w:val="none" w:sz="0" w:space="0" w:color="auto"/>
                <w:left w:val="none" w:sz="0" w:space="0" w:color="auto"/>
                <w:bottom w:val="none" w:sz="0" w:space="0" w:color="auto"/>
                <w:right w:val="none" w:sz="0" w:space="0" w:color="auto"/>
              </w:divBdr>
            </w:div>
          </w:divsChild>
        </w:div>
        <w:div w:id="316422837">
          <w:marLeft w:val="0"/>
          <w:marRight w:val="0"/>
          <w:marTop w:val="0"/>
          <w:marBottom w:val="0"/>
          <w:divBdr>
            <w:top w:val="none" w:sz="0" w:space="0" w:color="auto"/>
            <w:left w:val="none" w:sz="0" w:space="0" w:color="auto"/>
            <w:bottom w:val="none" w:sz="0" w:space="0" w:color="auto"/>
            <w:right w:val="none" w:sz="0" w:space="0" w:color="auto"/>
          </w:divBdr>
          <w:divsChild>
            <w:div w:id="1204096412">
              <w:marLeft w:val="0"/>
              <w:marRight w:val="0"/>
              <w:marTop w:val="0"/>
              <w:marBottom w:val="0"/>
              <w:divBdr>
                <w:top w:val="none" w:sz="0" w:space="0" w:color="auto"/>
                <w:left w:val="none" w:sz="0" w:space="0" w:color="auto"/>
                <w:bottom w:val="none" w:sz="0" w:space="0" w:color="auto"/>
                <w:right w:val="none" w:sz="0" w:space="0" w:color="auto"/>
              </w:divBdr>
            </w:div>
          </w:divsChild>
        </w:div>
        <w:div w:id="329451586">
          <w:marLeft w:val="0"/>
          <w:marRight w:val="0"/>
          <w:marTop w:val="0"/>
          <w:marBottom w:val="0"/>
          <w:divBdr>
            <w:top w:val="none" w:sz="0" w:space="0" w:color="auto"/>
            <w:left w:val="none" w:sz="0" w:space="0" w:color="auto"/>
            <w:bottom w:val="none" w:sz="0" w:space="0" w:color="auto"/>
            <w:right w:val="none" w:sz="0" w:space="0" w:color="auto"/>
          </w:divBdr>
          <w:divsChild>
            <w:div w:id="1407459614">
              <w:marLeft w:val="0"/>
              <w:marRight w:val="0"/>
              <w:marTop w:val="0"/>
              <w:marBottom w:val="0"/>
              <w:divBdr>
                <w:top w:val="none" w:sz="0" w:space="0" w:color="auto"/>
                <w:left w:val="none" w:sz="0" w:space="0" w:color="auto"/>
                <w:bottom w:val="none" w:sz="0" w:space="0" w:color="auto"/>
                <w:right w:val="none" w:sz="0" w:space="0" w:color="auto"/>
              </w:divBdr>
            </w:div>
          </w:divsChild>
        </w:div>
        <w:div w:id="334917214">
          <w:marLeft w:val="0"/>
          <w:marRight w:val="0"/>
          <w:marTop w:val="0"/>
          <w:marBottom w:val="0"/>
          <w:divBdr>
            <w:top w:val="none" w:sz="0" w:space="0" w:color="auto"/>
            <w:left w:val="none" w:sz="0" w:space="0" w:color="auto"/>
            <w:bottom w:val="none" w:sz="0" w:space="0" w:color="auto"/>
            <w:right w:val="none" w:sz="0" w:space="0" w:color="auto"/>
          </w:divBdr>
          <w:divsChild>
            <w:div w:id="1512983945">
              <w:marLeft w:val="0"/>
              <w:marRight w:val="0"/>
              <w:marTop w:val="0"/>
              <w:marBottom w:val="0"/>
              <w:divBdr>
                <w:top w:val="none" w:sz="0" w:space="0" w:color="auto"/>
                <w:left w:val="none" w:sz="0" w:space="0" w:color="auto"/>
                <w:bottom w:val="none" w:sz="0" w:space="0" w:color="auto"/>
                <w:right w:val="none" w:sz="0" w:space="0" w:color="auto"/>
              </w:divBdr>
            </w:div>
          </w:divsChild>
        </w:div>
        <w:div w:id="359202942">
          <w:marLeft w:val="0"/>
          <w:marRight w:val="0"/>
          <w:marTop w:val="0"/>
          <w:marBottom w:val="0"/>
          <w:divBdr>
            <w:top w:val="none" w:sz="0" w:space="0" w:color="auto"/>
            <w:left w:val="none" w:sz="0" w:space="0" w:color="auto"/>
            <w:bottom w:val="none" w:sz="0" w:space="0" w:color="auto"/>
            <w:right w:val="none" w:sz="0" w:space="0" w:color="auto"/>
          </w:divBdr>
          <w:divsChild>
            <w:div w:id="542137191">
              <w:marLeft w:val="0"/>
              <w:marRight w:val="0"/>
              <w:marTop w:val="0"/>
              <w:marBottom w:val="0"/>
              <w:divBdr>
                <w:top w:val="none" w:sz="0" w:space="0" w:color="auto"/>
                <w:left w:val="none" w:sz="0" w:space="0" w:color="auto"/>
                <w:bottom w:val="none" w:sz="0" w:space="0" w:color="auto"/>
                <w:right w:val="none" w:sz="0" w:space="0" w:color="auto"/>
              </w:divBdr>
            </w:div>
          </w:divsChild>
        </w:div>
        <w:div w:id="359937379">
          <w:marLeft w:val="0"/>
          <w:marRight w:val="0"/>
          <w:marTop w:val="0"/>
          <w:marBottom w:val="0"/>
          <w:divBdr>
            <w:top w:val="none" w:sz="0" w:space="0" w:color="auto"/>
            <w:left w:val="none" w:sz="0" w:space="0" w:color="auto"/>
            <w:bottom w:val="none" w:sz="0" w:space="0" w:color="auto"/>
            <w:right w:val="none" w:sz="0" w:space="0" w:color="auto"/>
          </w:divBdr>
          <w:divsChild>
            <w:div w:id="830828802">
              <w:marLeft w:val="0"/>
              <w:marRight w:val="0"/>
              <w:marTop w:val="0"/>
              <w:marBottom w:val="0"/>
              <w:divBdr>
                <w:top w:val="none" w:sz="0" w:space="0" w:color="auto"/>
                <w:left w:val="none" w:sz="0" w:space="0" w:color="auto"/>
                <w:bottom w:val="none" w:sz="0" w:space="0" w:color="auto"/>
                <w:right w:val="none" w:sz="0" w:space="0" w:color="auto"/>
              </w:divBdr>
            </w:div>
          </w:divsChild>
        </w:div>
        <w:div w:id="390886112">
          <w:marLeft w:val="0"/>
          <w:marRight w:val="0"/>
          <w:marTop w:val="0"/>
          <w:marBottom w:val="0"/>
          <w:divBdr>
            <w:top w:val="none" w:sz="0" w:space="0" w:color="auto"/>
            <w:left w:val="none" w:sz="0" w:space="0" w:color="auto"/>
            <w:bottom w:val="none" w:sz="0" w:space="0" w:color="auto"/>
            <w:right w:val="none" w:sz="0" w:space="0" w:color="auto"/>
          </w:divBdr>
          <w:divsChild>
            <w:div w:id="1692492853">
              <w:marLeft w:val="0"/>
              <w:marRight w:val="0"/>
              <w:marTop w:val="0"/>
              <w:marBottom w:val="0"/>
              <w:divBdr>
                <w:top w:val="none" w:sz="0" w:space="0" w:color="auto"/>
                <w:left w:val="none" w:sz="0" w:space="0" w:color="auto"/>
                <w:bottom w:val="none" w:sz="0" w:space="0" w:color="auto"/>
                <w:right w:val="none" w:sz="0" w:space="0" w:color="auto"/>
              </w:divBdr>
            </w:div>
            <w:div w:id="1935942556">
              <w:marLeft w:val="0"/>
              <w:marRight w:val="0"/>
              <w:marTop w:val="0"/>
              <w:marBottom w:val="0"/>
              <w:divBdr>
                <w:top w:val="none" w:sz="0" w:space="0" w:color="auto"/>
                <w:left w:val="none" w:sz="0" w:space="0" w:color="auto"/>
                <w:bottom w:val="none" w:sz="0" w:space="0" w:color="auto"/>
                <w:right w:val="none" w:sz="0" w:space="0" w:color="auto"/>
              </w:divBdr>
            </w:div>
          </w:divsChild>
        </w:div>
        <w:div w:id="456527915">
          <w:marLeft w:val="0"/>
          <w:marRight w:val="0"/>
          <w:marTop w:val="0"/>
          <w:marBottom w:val="0"/>
          <w:divBdr>
            <w:top w:val="none" w:sz="0" w:space="0" w:color="auto"/>
            <w:left w:val="none" w:sz="0" w:space="0" w:color="auto"/>
            <w:bottom w:val="none" w:sz="0" w:space="0" w:color="auto"/>
            <w:right w:val="none" w:sz="0" w:space="0" w:color="auto"/>
          </w:divBdr>
          <w:divsChild>
            <w:div w:id="1352608998">
              <w:marLeft w:val="0"/>
              <w:marRight w:val="0"/>
              <w:marTop w:val="0"/>
              <w:marBottom w:val="0"/>
              <w:divBdr>
                <w:top w:val="none" w:sz="0" w:space="0" w:color="auto"/>
                <w:left w:val="none" w:sz="0" w:space="0" w:color="auto"/>
                <w:bottom w:val="none" w:sz="0" w:space="0" w:color="auto"/>
                <w:right w:val="none" w:sz="0" w:space="0" w:color="auto"/>
              </w:divBdr>
            </w:div>
          </w:divsChild>
        </w:div>
        <w:div w:id="495727527">
          <w:marLeft w:val="0"/>
          <w:marRight w:val="0"/>
          <w:marTop w:val="0"/>
          <w:marBottom w:val="0"/>
          <w:divBdr>
            <w:top w:val="none" w:sz="0" w:space="0" w:color="auto"/>
            <w:left w:val="none" w:sz="0" w:space="0" w:color="auto"/>
            <w:bottom w:val="none" w:sz="0" w:space="0" w:color="auto"/>
            <w:right w:val="none" w:sz="0" w:space="0" w:color="auto"/>
          </w:divBdr>
          <w:divsChild>
            <w:div w:id="1374303473">
              <w:marLeft w:val="0"/>
              <w:marRight w:val="0"/>
              <w:marTop w:val="0"/>
              <w:marBottom w:val="0"/>
              <w:divBdr>
                <w:top w:val="none" w:sz="0" w:space="0" w:color="auto"/>
                <w:left w:val="none" w:sz="0" w:space="0" w:color="auto"/>
                <w:bottom w:val="none" w:sz="0" w:space="0" w:color="auto"/>
                <w:right w:val="none" w:sz="0" w:space="0" w:color="auto"/>
              </w:divBdr>
            </w:div>
          </w:divsChild>
        </w:div>
        <w:div w:id="597561894">
          <w:marLeft w:val="0"/>
          <w:marRight w:val="0"/>
          <w:marTop w:val="0"/>
          <w:marBottom w:val="0"/>
          <w:divBdr>
            <w:top w:val="none" w:sz="0" w:space="0" w:color="auto"/>
            <w:left w:val="none" w:sz="0" w:space="0" w:color="auto"/>
            <w:bottom w:val="none" w:sz="0" w:space="0" w:color="auto"/>
            <w:right w:val="none" w:sz="0" w:space="0" w:color="auto"/>
          </w:divBdr>
          <w:divsChild>
            <w:div w:id="1652829652">
              <w:marLeft w:val="0"/>
              <w:marRight w:val="0"/>
              <w:marTop w:val="0"/>
              <w:marBottom w:val="0"/>
              <w:divBdr>
                <w:top w:val="none" w:sz="0" w:space="0" w:color="auto"/>
                <w:left w:val="none" w:sz="0" w:space="0" w:color="auto"/>
                <w:bottom w:val="none" w:sz="0" w:space="0" w:color="auto"/>
                <w:right w:val="none" w:sz="0" w:space="0" w:color="auto"/>
              </w:divBdr>
            </w:div>
          </w:divsChild>
        </w:div>
        <w:div w:id="623928266">
          <w:marLeft w:val="0"/>
          <w:marRight w:val="0"/>
          <w:marTop w:val="0"/>
          <w:marBottom w:val="0"/>
          <w:divBdr>
            <w:top w:val="none" w:sz="0" w:space="0" w:color="auto"/>
            <w:left w:val="none" w:sz="0" w:space="0" w:color="auto"/>
            <w:bottom w:val="none" w:sz="0" w:space="0" w:color="auto"/>
            <w:right w:val="none" w:sz="0" w:space="0" w:color="auto"/>
          </w:divBdr>
          <w:divsChild>
            <w:div w:id="103231923">
              <w:marLeft w:val="0"/>
              <w:marRight w:val="0"/>
              <w:marTop w:val="0"/>
              <w:marBottom w:val="0"/>
              <w:divBdr>
                <w:top w:val="none" w:sz="0" w:space="0" w:color="auto"/>
                <w:left w:val="none" w:sz="0" w:space="0" w:color="auto"/>
                <w:bottom w:val="none" w:sz="0" w:space="0" w:color="auto"/>
                <w:right w:val="none" w:sz="0" w:space="0" w:color="auto"/>
              </w:divBdr>
            </w:div>
          </w:divsChild>
        </w:div>
        <w:div w:id="661782595">
          <w:marLeft w:val="0"/>
          <w:marRight w:val="0"/>
          <w:marTop w:val="0"/>
          <w:marBottom w:val="0"/>
          <w:divBdr>
            <w:top w:val="none" w:sz="0" w:space="0" w:color="auto"/>
            <w:left w:val="none" w:sz="0" w:space="0" w:color="auto"/>
            <w:bottom w:val="none" w:sz="0" w:space="0" w:color="auto"/>
            <w:right w:val="none" w:sz="0" w:space="0" w:color="auto"/>
          </w:divBdr>
          <w:divsChild>
            <w:div w:id="1942689454">
              <w:marLeft w:val="0"/>
              <w:marRight w:val="0"/>
              <w:marTop w:val="0"/>
              <w:marBottom w:val="0"/>
              <w:divBdr>
                <w:top w:val="none" w:sz="0" w:space="0" w:color="auto"/>
                <w:left w:val="none" w:sz="0" w:space="0" w:color="auto"/>
                <w:bottom w:val="none" w:sz="0" w:space="0" w:color="auto"/>
                <w:right w:val="none" w:sz="0" w:space="0" w:color="auto"/>
              </w:divBdr>
            </w:div>
          </w:divsChild>
        </w:div>
        <w:div w:id="678654097">
          <w:marLeft w:val="0"/>
          <w:marRight w:val="0"/>
          <w:marTop w:val="0"/>
          <w:marBottom w:val="0"/>
          <w:divBdr>
            <w:top w:val="none" w:sz="0" w:space="0" w:color="auto"/>
            <w:left w:val="none" w:sz="0" w:space="0" w:color="auto"/>
            <w:bottom w:val="none" w:sz="0" w:space="0" w:color="auto"/>
            <w:right w:val="none" w:sz="0" w:space="0" w:color="auto"/>
          </w:divBdr>
          <w:divsChild>
            <w:div w:id="1426612078">
              <w:marLeft w:val="0"/>
              <w:marRight w:val="0"/>
              <w:marTop w:val="0"/>
              <w:marBottom w:val="0"/>
              <w:divBdr>
                <w:top w:val="none" w:sz="0" w:space="0" w:color="auto"/>
                <w:left w:val="none" w:sz="0" w:space="0" w:color="auto"/>
                <w:bottom w:val="none" w:sz="0" w:space="0" w:color="auto"/>
                <w:right w:val="none" w:sz="0" w:space="0" w:color="auto"/>
              </w:divBdr>
            </w:div>
          </w:divsChild>
        </w:div>
        <w:div w:id="740757298">
          <w:marLeft w:val="0"/>
          <w:marRight w:val="0"/>
          <w:marTop w:val="0"/>
          <w:marBottom w:val="0"/>
          <w:divBdr>
            <w:top w:val="none" w:sz="0" w:space="0" w:color="auto"/>
            <w:left w:val="none" w:sz="0" w:space="0" w:color="auto"/>
            <w:bottom w:val="none" w:sz="0" w:space="0" w:color="auto"/>
            <w:right w:val="none" w:sz="0" w:space="0" w:color="auto"/>
          </w:divBdr>
          <w:divsChild>
            <w:div w:id="215167287">
              <w:marLeft w:val="0"/>
              <w:marRight w:val="0"/>
              <w:marTop w:val="0"/>
              <w:marBottom w:val="0"/>
              <w:divBdr>
                <w:top w:val="none" w:sz="0" w:space="0" w:color="auto"/>
                <w:left w:val="none" w:sz="0" w:space="0" w:color="auto"/>
                <w:bottom w:val="none" w:sz="0" w:space="0" w:color="auto"/>
                <w:right w:val="none" w:sz="0" w:space="0" w:color="auto"/>
              </w:divBdr>
            </w:div>
          </w:divsChild>
        </w:div>
        <w:div w:id="770779030">
          <w:marLeft w:val="0"/>
          <w:marRight w:val="0"/>
          <w:marTop w:val="0"/>
          <w:marBottom w:val="0"/>
          <w:divBdr>
            <w:top w:val="none" w:sz="0" w:space="0" w:color="auto"/>
            <w:left w:val="none" w:sz="0" w:space="0" w:color="auto"/>
            <w:bottom w:val="none" w:sz="0" w:space="0" w:color="auto"/>
            <w:right w:val="none" w:sz="0" w:space="0" w:color="auto"/>
          </w:divBdr>
          <w:divsChild>
            <w:div w:id="499471387">
              <w:marLeft w:val="0"/>
              <w:marRight w:val="0"/>
              <w:marTop w:val="0"/>
              <w:marBottom w:val="0"/>
              <w:divBdr>
                <w:top w:val="none" w:sz="0" w:space="0" w:color="auto"/>
                <w:left w:val="none" w:sz="0" w:space="0" w:color="auto"/>
                <w:bottom w:val="none" w:sz="0" w:space="0" w:color="auto"/>
                <w:right w:val="none" w:sz="0" w:space="0" w:color="auto"/>
              </w:divBdr>
            </w:div>
          </w:divsChild>
        </w:div>
        <w:div w:id="795371930">
          <w:marLeft w:val="0"/>
          <w:marRight w:val="0"/>
          <w:marTop w:val="0"/>
          <w:marBottom w:val="0"/>
          <w:divBdr>
            <w:top w:val="none" w:sz="0" w:space="0" w:color="auto"/>
            <w:left w:val="none" w:sz="0" w:space="0" w:color="auto"/>
            <w:bottom w:val="none" w:sz="0" w:space="0" w:color="auto"/>
            <w:right w:val="none" w:sz="0" w:space="0" w:color="auto"/>
          </w:divBdr>
          <w:divsChild>
            <w:div w:id="739015533">
              <w:marLeft w:val="0"/>
              <w:marRight w:val="0"/>
              <w:marTop w:val="0"/>
              <w:marBottom w:val="0"/>
              <w:divBdr>
                <w:top w:val="none" w:sz="0" w:space="0" w:color="auto"/>
                <w:left w:val="none" w:sz="0" w:space="0" w:color="auto"/>
                <w:bottom w:val="none" w:sz="0" w:space="0" w:color="auto"/>
                <w:right w:val="none" w:sz="0" w:space="0" w:color="auto"/>
              </w:divBdr>
            </w:div>
          </w:divsChild>
        </w:div>
        <w:div w:id="834806066">
          <w:marLeft w:val="0"/>
          <w:marRight w:val="0"/>
          <w:marTop w:val="0"/>
          <w:marBottom w:val="0"/>
          <w:divBdr>
            <w:top w:val="none" w:sz="0" w:space="0" w:color="auto"/>
            <w:left w:val="none" w:sz="0" w:space="0" w:color="auto"/>
            <w:bottom w:val="none" w:sz="0" w:space="0" w:color="auto"/>
            <w:right w:val="none" w:sz="0" w:space="0" w:color="auto"/>
          </w:divBdr>
          <w:divsChild>
            <w:div w:id="1110857211">
              <w:marLeft w:val="0"/>
              <w:marRight w:val="0"/>
              <w:marTop w:val="0"/>
              <w:marBottom w:val="0"/>
              <w:divBdr>
                <w:top w:val="none" w:sz="0" w:space="0" w:color="auto"/>
                <w:left w:val="none" w:sz="0" w:space="0" w:color="auto"/>
                <w:bottom w:val="none" w:sz="0" w:space="0" w:color="auto"/>
                <w:right w:val="none" w:sz="0" w:space="0" w:color="auto"/>
              </w:divBdr>
            </w:div>
          </w:divsChild>
        </w:div>
        <w:div w:id="896669863">
          <w:marLeft w:val="0"/>
          <w:marRight w:val="0"/>
          <w:marTop w:val="0"/>
          <w:marBottom w:val="0"/>
          <w:divBdr>
            <w:top w:val="none" w:sz="0" w:space="0" w:color="auto"/>
            <w:left w:val="none" w:sz="0" w:space="0" w:color="auto"/>
            <w:bottom w:val="none" w:sz="0" w:space="0" w:color="auto"/>
            <w:right w:val="none" w:sz="0" w:space="0" w:color="auto"/>
          </w:divBdr>
          <w:divsChild>
            <w:div w:id="2029335574">
              <w:marLeft w:val="0"/>
              <w:marRight w:val="0"/>
              <w:marTop w:val="0"/>
              <w:marBottom w:val="0"/>
              <w:divBdr>
                <w:top w:val="none" w:sz="0" w:space="0" w:color="auto"/>
                <w:left w:val="none" w:sz="0" w:space="0" w:color="auto"/>
                <w:bottom w:val="none" w:sz="0" w:space="0" w:color="auto"/>
                <w:right w:val="none" w:sz="0" w:space="0" w:color="auto"/>
              </w:divBdr>
            </w:div>
          </w:divsChild>
        </w:div>
        <w:div w:id="954482864">
          <w:marLeft w:val="0"/>
          <w:marRight w:val="0"/>
          <w:marTop w:val="0"/>
          <w:marBottom w:val="0"/>
          <w:divBdr>
            <w:top w:val="none" w:sz="0" w:space="0" w:color="auto"/>
            <w:left w:val="none" w:sz="0" w:space="0" w:color="auto"/>
            <w:bottom w:val="none" w:sz="0" w:space="0" w:color="auto"/>
            <w:right w:val="none" w:sz="0" w:space="0" w:color="auto"/>
          </w:divBdr>
          <w:divsChild>
            <w:div w:id="990870711">
              <w:marLeft w:val="0"/>
              <w:marRight w:val="0"/>
              <w:marTop w:val="0"/>
              <w:marBottom w:val="0"/>
              <w:divBdr>
                <w:top w:val="none" w:sz="0" w:space="0" w:color="auto"/>
                <w:left w:val="none" w:sz="0" w:space="0" w:color="auto"/>
                <w:bottom w:val="none" w:sz="0" w:space="0" w:color="auto"/>
                <w:right w:val="none" w:sz="0" w:space="0" w:color="auto"/>
              </w:divBdr>
            </w:div>
          </w:divsChild>
        </w:div>
        <w:div w:id="958954133">
          <w:marLeft w:val="0"/>
          <w:marRight w:val="0"/>
          <w:marTop w:val="0"/>
          <w:marBottom w:val="0"/>
          <w:divBdr>
            <w:top w:val="none" w:sz="0" w:space="0" w:color="auto"/>
            <w:left w:val="none" w:sz="0" w:space="0" w:color="auto"/>
            <w:bottom w:val="none" w:sz="0" w:space="0" w:color="auto"/>
            <w:right w:val="none" w:sz="0" w:space="0" w:color="auto"/>
          </w:divBdr>
          <w:divsChild>
            <w:div w:id="450369572">
              <w:marLeft w:val="0"/>
              <w:marRight w:val="0"/>
              <w:marTop w:val="0"/>
              <w:marBottom w:val="0"/>
              <w:divBdr>
                <w:top w:val="none" w:sz="0" w:space="0" w:color="auto"/>
                <w:left w:val="none" w:sz="0" w:space="0" w:color="auto"/>
                <w:bottom w:val="none" w:sz="0" w:space="0" w:color="auto"/>
                <w:right w:val="none" w:sz="0" w:space="0" w:color="auto"/>
              </w:divBdr>
            </w:div>
          </w:divsChild>
        </w:div>
        <w:div w:id="972759969">
          <w:marLeft w:val="0"/>
          <w:marRight w:val="0"/>
          <w:marTop w:val="0"/>
          <w:marBottom w:val="0"/>
          <w:divBdr>
            <w:top w:val="none" w:sz="0" w:space="0" w:color="auto"/>
            <w:left w:val="none" w:sz="0" w:space="0" w:color="auto"/>
            <w:bottom w:val="none" w:sz="0" w:space="0" w:color="auto"/>
            <w:right w:val="none" w:sz="0" w:space="0" w:color="auto"/>
          </w:divBdr>
          <w:divsChild>
            <w:div w:id="542013683">
              <w:marLeft w:val="0"/>
              <w:marRight w:val="0"/>
              <w:marTop w:val="0"/>
              <w:marBottom w:val="0"/>
              <w:divBdr>
                <w:top w:val="none" w:sz="0" w:space="0" w:color="auto"/>
                <w:left w:val="none" w:sz="0" w:space="0" w:color="auto"/>
                <w:bottom w:val="none" w:sz="0" w:space="0" w:color="auto"/>
                <w:right w:val="none" w:sz="0" w:space="0" w:color="auto"/>
              </w:divBdr>
            </w:div>
          </w:divsChild>
        </w:div>
        <w:div w:id="1035547806">
          <w:marLeft w:val="0"/>
          <w:marRight w:val="0"/>
          <w:marTop w:val="0"/>
          <w:marBottom w:val="0"/>
          <w:divBdr>
            <w:top w:val="none" w:sz="0" w:space="0" w:color="auto"/>
            <w:left w:val="none" w:sz="0" w:space="0" w:color="auto"/>
            <w:bottom w:val="none" w:sz="0" w:space="0" w:color="auto"/>
            <w:right w:val="none" w:sz="0" w:space="0" w:color="auto"/>
          </w:divBdr>
          <w:divsChild>
            <w:div w:id="1103039584">
              <w:marLeft w:val="0"/>
              <w:marRight w:val="0"/>
              <w:marTop w:val="0"/>
              <w:marBottom w:val="0"/>
              <w:divBdr>
                <w:top w:val="none" w:sz="0" w:space="0" w:color="auto"/>
                <w:left w:val="none" w:sz="0" w:space="0" w:color="auto"/>
                <w:bottom w:val="none" w:sz="0" w:space="0" w:color="auto"/>
                <w:right w:val="none" w:sz="0" w:space="0" w:color="auto"/>
              </w:divBdr>
            </w:div>
          </w:divsChild>
        </w:div>
        <w:div w:id="1124541945">
          <w:marLeft w:val="0"/>
          <w:marRight w:val="0"/>
          <w:marTop w:val="0"/>
          <w:marBottom w:val="0"/>
          <w:divBdr>
            <w:top w:val="none" w:sz="0" w:space="0" w:color="auto"/>
            <w:left w:val="none" w:sz="0" w:space="0" w:color="auto"/>
            <w:bottom w:val="none" w:sz="0" w:space="0" w:color="auto"/>
            <w:right w:val="none" w:sz="0" w:space="0" w:color="auto"/>
          </w:divBdr>
          <w:divsChild>
            <w:div w:id="259800200">
              <w:marLeft w:val="0"/>
              <w:marRight w:val="0"/>
              <w:marTop w:val="0"/>
              <w:marBottom w:val="0"/>
              <w:divBdr>
                <w:top w:val="none" w:sz="0" w:space="0" w:color="auto"/>
                <w:left w:val="none" w:sz="0" w:space="0" w:color="auto"/>
                <w:bottom w:val="none" w:sz="0" w:space="0" w:color="auto"/>
                <w:right w:val="none" w:sz="0" w:space="0" w:color="auto"/>
              </w:divBdr>
            </w:div>
          </w:divsChild>
        </w:div>
        <w:div w:id="1127436524">
          <w:marLeft w:val="0"/>
          <w:marRight w:val="0"/>
          <w:marTop w:val="0"/>
          <w:marBottom w:val="0"/>
          <w:divBdr>
            <w:top w:val="none" w:sz="0" w:space="0" w:color="auto"/>
            <w:left w:val="none" w:sz="0" w:space="0" w:color="auto"/>
            <w:bottom w:val="none" w:sz="0" w:space="0" w:color="auto"/>
            <w:right w:val="none" w:sz="0" w:space="0" w:color="auto"/>
          </w:divBdr>
          <w:divsChild>
            <w:div w:id="2085179656">
              <w:marLeft w:val="0"/>
              <w:marRight w:val="0"/>
              <w:marTop w:val="0"/>
              <w:marBottom w:val="0"/>
              <w:divBdr>
                <w:top w:val="none" w:sz="0" w:space="0" w:color="auto"/>
                <w:left w:val="none" w:sz="0" w:space="0" w:color="auto"/>
                <w:bottom w:val="none" w:sz="0" w:space="0" w:color="auto"/>
                <w:right w:val="none" w:sz="0" w:space="0" w:color="auto"/>
              </w:divBdr>
            </w:div>
          </w:divsChild>
        </w:div>
        <w:div w:id="1190411089">
          <w:marLeft w:val="0"/>
          <w:marRight w:val="0"/>
          <w:marTop w:val="0"/>
          <w:marBottom w:val="0"/>
          <w:divBdr>
            <w:top w:val="none" w:sz="0" w:space="0" w:color="auto"/>
            <w:left w:val="none" w:sz="0" w:space="0" w:color="auto"/>
            <w:bottom w:val="none" w:sz="0" w:space="0" w:color="auto"/>
            <w:right w:val="none" w:sz="0" w:space="0" w:color="auto"/>
          </w:divBdr>
          <w:divsChild>
            <w:div w:id="1696539846">
              <w:marLeft w:val="0"/>
              <w:marRight w:val="0"/>
              <w:marTop w:val="0"/>
              <w:marBottom w:val="0"/>
              <w:divBdr>
                <w:top w:val="none" w:sz="0" w:space="0" w:color="auto"/>
                <w:left w:val="none" w:sz="0" w:space="0" w:color="auto"/>
                <w:bottom w:val="none" w:sz="0" w:space="0" w:color="auto"/>
                <w:right w:val="none" w:sz="0" w:space="0" w:color="auto"/>
              </w:divBdr>
            </w:div>
          </w:divsChild>
        </w:div>
        <w:div w:id="1222133386">
          <w:marLeft w:val="0"/>
          <w:marRight w:val="0"/>
          <w:marTop w:val="0"/>
          <w:marBottom w:val="0"/>
          <w:divBdr>
            <w:top w:val="none" w:sz="0" w:space="0" w:color="auto"/>
            <w:left w:val="none" w:sz="0" w:space="0" w:color="auto"/>
            <w:bottom w:val="none" w:sz="0" w:space="0" w:color="auto"/>
            <w:right w:val="none" w:sz="0" w:space="0" w:color="auto"/>
          </w:divBdr>
          <w:divsChild>
            <w:div w:id="1162114732">
              <w:marLeft w:val="0"/>
              <w:marRight w:val="0"/>
              <w:marTop w:val="0"/>
              <w:marBottom w:val="0"/>
              <w:divBdr>
                <w:top w:val="none" w:sz="0" w:space="0" w:color="auto"/>
                <w:left w:val="none" w:sz="0" w:space="0" w:color="auto"/>
                <w:bottom w:val="none" w:sz="0" w:space="0" w:color="auto"/>
                <w:right w:val="none" w:sz="0" w:space="0" w:color="auto"/>
              </w:divBdr>
            </w:div>
          </w:divsChild>
        </w:div>
        <w:div w:id="1233928980">
          <w:marLeft w:val="0"/>
          <w:marRight w:val="0"/>
          <w:marTop w:val="0"/>
          <w:marBottom w:val="0"/>
          <w:divBdr>
            <w:top w:val="none" w:sz="0" w:space="0" w:color="auto"/>
            <w:left w:val="none" w:sz="0" w:space="0" w:color="auto"/>
            <w:bottom w:val="none" w:sz="0" w:space="0" w:color="auto"/>
            <w:right w:val="none" w:sz="0" w:space="0" w:color="auto"/>
          </w:divBdr>
          <w:divsChild>
            <w:div w:id="717165598">
              <w:marLeft w:val="0"/>
              <w:marRight w:val="0"/>
              <w:marTop w:val="0"/>
              <w:marBottom w:val="0"/>
              <w:divBdr>
                <w:top w:val="none" w:sz="0" w:space="0" w:color="auto"/>
                <w:left w:val="none" w:sz="0" w:space="0" w:color="auto"/>
                <w:bottom w:val="none" w:sz="0" w:space="0" w:color="auto"/>
                <w:right w:val="none" w:sz="0" w:space="0" w:color="auto"/>
              </w:divBdr>
            </w:div>
          </w:divsChild>
        </w:div>
        <w:div w:id="1250196873">
          <w:marLeft w:val="0"/>
          <w:marRight w:val="0"/>
          <w:marTop w:val="0"/>
          <w:marBottom w:val="0"/>
          <w:divBdr>
            <w:top w:val="none" w:sz="0" w:space="0" w:color="auto"/>
            <w:left w:val="none" w:sz="0" w:space="0" w:color="auto"/>
            <w:bottom w:val="none" w:sz="0" w:space="0" w:color="auto"/>
            <w:right w:val="none" w:sz="0" w:space="0" w:color="auto"/>
          </w:divBdr>
          <w:divsChild>
            <w:div w:id="429089601">
              <w:marLeft w:val="0"/>
              <w:marRight w:val="0"/>
              <w:marTop w:val="0"/>
              <w:marBottom w:val="0"/>
              <w:divBdr>
                <w:top w:val="none" w:sz="0" w:space="0" w:color="auto"/>
                <w:left w:val="none" w:sz="0" w:space="0" w:color="auto"/>
                <w:bottom w:val="none" w:sz="0" w:space="0" w:color="auto"/>
                <w:right w:val="none" w:sz="0" w:space="0" w:color="auto"/>
              </w:divBdr>
            </w:div>
          </w:divsChild>
        </w:div>
        <w:div w:id="1260026430">
          <w:marLeft w:val="0"/>
          <w:marRight w:val="0"/>
          <w:marTop w:val="0"/>
          <w:marBottom w:val="0"/>
          <w:divBdr>
            <w:top w:val="none" w:sz="0" w:space="0" w:color="auto"/>
            <w:left w:val="none" w:sz="0" w:space="0" w:color="auto"/>
            <w:bottom w:val="none" w:sz="0" w:space="0" w:color="auto"/>
            <w:right w:val="none" w:sz="0" w:space="0" w:color="auto"/>
          </w:divBdr>
          <w:divsChild>
            <w:div w:id="2134057928">
              <w:marLeft w:val="0"/>
              <w:marRight w:val="0"/>
              <w:marTop w:val="0"/>
              <w:marBottom w:val="0"/>
              <w:divBdr>
                <w:top w:val="none" w:sz="0" w:space="0" w:color="auto"/>
                <w:left w:val="none" w:sz="0" w:space="0" w:color="auto"/>
                <w:bottom w:val="none" w:sz="0" w:space="0" w:color="auto"/>
                <w:right w:val="none" w:sz="0" w:space="0" w:color="auto"/>
              </w:divBdr>
            </w:div>
          </w:divsChild>
        </w:div>
        <w:div w:id="1267806068">
          <w:marLeft w:val="0"/>
          <w:marRight w:val="0"/>
          <w:marTop w:val="0"/>
          <w:marBottom w:val="0"/>
          <w:divBdr>
            <w:top w:val="none" w:sz="0" w:space="0" w:color="auto"/>
            <w:left w:val="none" w:sz="0" w:space="0" w:color="auto"/>
            <w:bottom w:val="none" w:sz="0" w:space="0" w:color="auto"/>
            <w:right w:val="none" w:sz="0" w:space="0" w:color="auto"/>
          </w:divBdr>
          <w:divsChild>
            <w:div w:id="389814382">
              <w:marLeft w:val="0"/>
              <w:marRight w:val="0"/>
              <w:marTop w:val="0"/>
              <w:marBottom w:val="0"/>
              <w:divBdr>
                <w:top w:val="none" w:sz="0" w:space="0" w:color="auto"/>
                <w:left w:val="none" w:sz="0" w:space="0" w:color="auto"/>
                <w:bottom w:val="none" w:sz="0" w:space="0" w:color="auto"/>
                <w:right w:val="none" w:sz="0" w:space="0" w:color="auto"/>
              </w:divBdr>
            </w:div>
          </w:divsChild>
        </w:div>
        <w:div w:id="1275288508">
          <w:marLeft w:val="0"/>
          <w:marRight w:val="0"/>
          <w:marTop w:val="0"/>
          <w:marBottom w:val="0"/>
          <w:divBdr>
            <w:top w:val="none" w:sz="0" w:space="0" w:color="auto"/>
            <w:left w:val="none" w:sz="0" w:space="0" w:color="auto"/>
            <w:bottom w:val="none" w:sz="0" w:space="0" w:color="auto"/>
            <w:right w:val="none" w:sz="0" w:space="0" w:color="auto"/>
          </w:divBdr>
          <w:divsChild>
            <w:div w:id="1224414161">
              <w:marLeft w:val="0"/>
              <w:marRight w:val="0"/>
              <w:marTop w:val="0"/>
              <w:marBottom w:val="0"/>
              <w:divBdr>
                <w:top w:val="none" w:sz="0" w:space="0" w:color="auto"/>
                <w:left w:val="none" w:sz="0" w:space="0" w:color="auto"/>
                <w:bottom w:val="none" w:sz="0" w:space="0" w:color="auto"/>
                <w:right w:val="none" w:sz="0" w:space="0" w:color="auto"/>
              </w:divBdr>
            </w:div>
          </w:divsChild>
        </w:div>
        <w:div w:id="1346859426">
          <w:marLeft w:val="0"/>
          <w:marRight w:val="0"/>
          <w:marTop w:val="0"/>
          <w:marBottom w:val="0"/>
          <w:divBdr>
            <w:top w:val="none" w:sz="0" w:space="0" w:color="auto"/>
            <w:left w:val="none" w:sz="0" w:space="0" w:color="auto"/>
            <w:bottom w:val="none" w:sz="0" w:space="0" w:color="auto"/>
            <w:right w:val="none" w:sz="0" w:space="0" w:color="auto"/>
          </w:divBdr>
          <w:divsChild>
            <w:div w:id="1505587637">
              <w:marLeft w:val="0"/>
              <w:marRight w:val="0"/>
              <w:marTop w:val="0"/>
              <w:marBottom w:val="0"/>
              <w:divBdr>
                <w:top w:val="none" w:sz="0" w:space="0" w:color="auto"/>
                <w:left w:val="none" w:sz="0" w:space="0" w:color="auto"/>
                <w:bottom w:val="none" w:sz="0" w:space="0" w:color="auto"/>
                <w:right w:val="none" w:sz="0" w:space="0" w:color="auto"/>
              </w:divBdr>
            </w:div>
          </w:divsChild>
        </w:div>
        <w:div w:id="1411391903">
          <w:marLeft w:val="0"/>
          <w:marRight w:val="0"/>
          <w:marTop w:val="0"/>
          <w:marBottom w:val="0"/>
          <w:divBdr>
            <w:top w:val="none" w:sz="0" w:space="0" w:color="auto"/>
            <w:left w:val="none" w:sz="0" w:space="0" w:color="auto"/>
            <w:bottom w:val="none" w:sz="0" w:space="0" w:color="auto"/>
            <w:right w:val="none" w:sz="0" w:space="0" w:color="auto"/>
          </w:divBdr>
          <w:divsChild>
            <w:div w:id="642658346">
              <w:marLeft w:val="0"/>
              <w:marRight w:val="0"/>
              <w:marTop w:val="0"/>
              <w:marBottom w:val="0"/>
              <w:divBdr>
                <w:top w:val="none" w:sz="0" w:space="0" w:color="auto"/>
                <w:left w:val="none" w:sz="0" w:space="0" w:color="auto"/>
                <w:bottom w:val="none" w:sz="0" w:space="0" w:color="auto"/>
                <w:right w:val="none" w:sz="0" w:space="0" w:color="auto"/>
              </w:divBdr>
            </w:div>
          </w:divsChild>
        </w:div>
        <w:div w:id="1420905985">
          <w:marLeft w:val="0"/>
          <w:marRight w:val="0"/>
          <w:marTop w:val="0"/>
          <w:marBottom w:val="0"/>
          <w:divBdr>
            <w:top w:val="none" w:sz="0" w:space="0" w:color="auto"/>
            <w:left w:val="none" w:sz="0" w:space="0" w:color="auto"/>
            <w:bottom w:val="none" w:sz="0" w:space="0" w:color="auto"/>
            <w:right w:val="none" w:sz="0" w:space="0" w:color="auto"/>
          </w:divBdr>
          <w:divsChild>
            <w:div w:id="1931425881">
              <w:marLeft w:val="0"/>
              <w:marRight w:val="0"/>
              <w:marTop w:val="0"/>
              <w:marBottom w:val="0"/>
              <w:divBdr>
                <w:top w:val="none" w:sz="0" w:space="0" w:color="auto"/>
                <w:left w:val="none" w:sz="0" w:space="0" w:color="auto"/>
                <w:bottom w:val="none" w:sz="0" w:space="0" w:color="auto"/>
                <w:right w:val="none" w:sz="0" w:space="0" w:color="auto"/>
              </w:divBdr>
            </w:div>
          </w:divsChild>
        </w:div>
        <w:div w:id="1595165969">
          <w:marLeft w:val="0"/>
          <w:marRight w:val="0"/>
          <w:marTop w:val="0"/>
          <w:marBottom w:val="0"/>
          <w:divBdr>
            <w:top w:val="none" w:sz="0" w:space="0" w:color="auto"/>
            <w:left w:val="none" w:sz="0" w:space="0" w:color="auto"/>
            <w:bottom w:val="none" w:sz="0" w:space="0" w:color="auto"/>
            <w:right w:val="none" w:sz="0" w:space="0" w:color="auto"/>
          </w:divBdr>
          <w:divsChild>
            <w:div w:id="280111906">
              <w:marLeft w:val="0"/>
              <w:marRight w:val="0"/>
              <w:marTop w:val="0"/>
              <w:marBottom w:val="0"/>
              <w:divBdr>
                <w:top w:val="none" w:sz="0" w:space="0" w:color="auto"/>
                <w:left w:val="none" w:sz="0" w:space="0" w:color="auto"/>
                <w:bottom w:val="none" w:sz="0" w:space="0" w:color="auto"/>
                <w:right w:val="none" w:sz="0" w:space="0" w:color="auto"/>
              </w:divBdr>
            </w:div>
          </w:divsChild>
        </w:div>
        <w:div w:id="1627274274">
          <w:marLeft w:val="0"/>
          <w:marRight w:val="0"/>
          <w:marTop w:val="0"/>
          <w:marBottom w:val="0"/>
          <w:divBdr>
            <w:top w:val="none" w:sz="0" w:space="0" w:color="auto"/>
            <w:left w:val="none" w:sz="0" w:space="0" w:color="auto"/>
            <w:bottom w:val="none" w:sz="0" w:space="0" w:color="auto"/>
            <w:right w:val="none" w:sz="0" w:space="0" w:color="auto"/>
          </w:divBdr>
          <w:divsChild>
            <w:div w:id="732234528">
              <w:marLeft w:val="0"/>
              <w:marRight w:val="0"/>
              <w:marTop w:val="0"/>
              <w:marBottom w:val="0"/>
              <w:divBdr>
                <w:top w:val="none" w:sz="0" w:space="0" w:color="auto"/>
                <w:left w:val="none" w:sz="0" w:space="0" w:color="auto"/>
                <w:bottom w:val="none" w:sz="0" w:space="0" w:color="auto"/>
                <w:right w:val="none" w:sz="0" w:space="0" w:color="auto"/>
              </w:divBdr>
            </w:div>
          </w:divsChild>
        </w:div>
        <w:div w:id="1667972476">
          <w:marLeft w:val="0"/>
          <w:marRight w:val="0"/>
          <w:marTop w:val="0"/>
          <w:marBottom w:val="0"/>
          <w:divBdr>
            <w:top w:val="none" w:sz="0" w:space="0" w:color="auto"/>
            <w:left w:val="none" w:sz="0" w:space="0" w:color="auto"/>
            <w:bottom w:val="none" w:sz="0" w:space="0" w:color="auto"/>
            <w:right w:val="none" w:sz="0" w:space="0" w:color="auto"/>
          </w:divBdr>
          <w:divsChild>
            <w:div w:id="159587346">
              <w:marLeft w:val="0"/>
              <w:marRight w:val="0"/>
              <w:marTop w:val="0"/>
              <w:marBottom w:val="0"/>
              <w:divBdr>
                <w:top w:val="none" w:sz="0" w:space="0" w:color="auto"/>
                <w:left w:val="none" w:sz="0" w:space="0" w:color="auto"/>
                <w:bottom w:val="none" w:sz="0" w:space="0" w:color="auto"/>
                <w:right w:val="none" w:sz="0" w:space="0" w:color="auto"/>
              </w:divBdr>
            </w:div>
          </w:divsChild>
        </w:div>
        <w:div w:id="1677227036">
          <w:marLeft w:val="0"/>
          <w:marRight w:val="0"/>
          <w:marTop w:val="0"/>
          <w:marBottom w:val="0"/>
          <w:divBdr>
            <w:top w:val="none" w:sz="0" w:space="0" w:color="auto"/>
            <w:left w:val="none" w:sz="0" w:space="0" w:color="auto"/>
            <w:bottom w:val="none" w:sz="0" w:space="0" w:color="auto"/>
            <w:right w:val="none" w:sz="0" w:space="0" w:color="auto"/>
          </w:divBdr>
          <w:divsChild>
            <w:div w:id="1549565646">
              <w:marLeft w:val="0"/>
              <w:marRight w:val="0"/>
              <w:marTop w:val="0"/>
              <w:marBottom w:val="0"/>
              <w:divBdr>
                <w:top w:val="none" w:sz="0" w:space="0" w:color="auto"/>
                <w:left w:val="none" w:sz="0" w:space="0" w:color="auto"/>
                <w:bottom w:val="none" w:sz="0" w:space="0" w:color="auto"/>
                <w:right w:val="none" w:sz="0" w:space="0" w:color="auto"/>
              </w:divBdr>
            </w:div>
          </w:divsChild>
        </w:div>
        <w:div w:id="1701586799">
          <w:marLeft w:val="0"/>
          <w:marRight w:val="0"/>
          <w:marTop w:val="0"/>
          <w:marBottom w:val="0"/>
          <w:divBdr>
            <w:top w:val="none" w:sz="0" w:space="0" w:color="auto"/>
            <w:left w:val="none" w:sz="0" w:space="0" w:color="auto"/>
            <w:bottom w:val="none" w:sz="0" w:space="0" w:color="auto"/>
            <w:right w:val="none" w:sz="0" w:space="0" w:color="auto"/>
          </w:divBdr>
          <w:divsChild>
            <w:div w:id="834882955">
              <w:marLeft w:val="0"/>
              <w:marRight w:val="0"/>
              <w:marTop w:val="0"/>
              <w:marBottom w:val="0"/>
              <w:divBdr>
                <w:top w:val="none" w:sz="0" w:space="0" w:color="auto"/>
                <w:left w:val="none" w:sz="0" w:space="0" w:color="auto"/>
                <w:bottom w:val="none" w:sz="0" w:space="0" w:color="auto"/>
                <w:right w:val="none" w:sz="0" w:space="0" w:color="auto"/>
              </w:divBdr>
            </w:div>
          </w:divsChild>
        </w:div>
        <w:div w:id="1751851071">
          <w:marLeft w:val="0"/>
          <w:marRight w:val="0"/>
          <w:marTop w:val="0"/>
          <w:marBottom w:val="0"/>
          <w:divBdr>
            <w:top w:val="none" w:sz="0" w:space="0" w:color="auto"/>
            <w:left w:val="none" w:sz="0" w:space="0" w:color="auto"/>
            <w:bottom w:val="none" w:sz="0" w:space="0" w:color="auto"/>
            <w:right w:val="none" w:sz="0" w:space="0" w:color="auto"/>
          </w:divBdr>
          <w:divsChild>
            <w:div w:id="1427531592">
              <w:marLeft w:val="0"/>
              <w:marRight w:val="0"/>
              <w:marTop w:val="0"/>
              <w:marBottom w:val="0"/>
              <w:divBdr>
                <w:top w:val="none" w:sz="0" w:space="0" w:color="auto"/>
                <w:left w:val="none" w:sz="0" w:space="0" w:color="auto"/>
                <w:bottom w:val="none" w:sz="0" w:space="0" w:color="auto"/>
                <w:right w:val="none" w:sz="0" w:space="0" w:color="auto"/>
              </w:divBdr>
            </w:div>
          </w:divsChild>
        </w:div>
        <w:div w:id="1793282451">
          <w:marLeft w:val="0"/>
          <w:marRight w:val="0"/>
          <w:marTop w:val="0"/>
          <w:marBottom w:val="0"/>
          <w:divBdr>
            <w:top w:val="none" w:sz="0" w:space="0" w:color="auto"/>
            <w:left w:val="none" w:sz="0" w:space="0" w:color="auto"/>
            <w:bottom w:val="none" w:sz="0" w:space="0" w:color="auto"/>
            <w:right w:val="none" w:sz="0" w:space="0" w:color="auto"/>
          </w:divBdr>
          <w:divsChild>
            <w:div w:id="138890425">
              <w:marLeft w:val="0"/>
              <w:marRight w:val="0"/>
              <w:marTop w:val="0"/>
              <w:marBottom w:val="0"/>
              <w:divBdr>
                <w:top w:val="none" w:sz="0" w:space="0" w:color="auto"/>
                <w:left w:val="none" w:sz="0" w:space="0" w:color="auto"/>
                <w:bottom w:val="none" w:sz="0" w:space="0" w:color="auto"/>
                <w:right w:val="none" w:sz="0" w:space="0" w:color="auto"/>
              </w:divBdr>
            </w:div>
          </w:divsChild>
        </w:div>
        <w:div w:id="1798642395">
          <w:marLeft w:val="0"/>
          <w:marRight w:val="0"/>
          <w:marTop w:val="0"/>
          <w:marBottom w:val="0"/>
          <w:divBdr>
            <w:top w:val="none" w:sz="0" w:space="0" w:color="auto"/>
            <w:left w:val="none" w:sz="0" w:space="0" w:color="auto"/>
            <w:bottom w:val="none" w:sz="0" w:space="0" w:color="auto"/>
            <w:right w:val="none" w:sz="0" w:space="0" w:color="auto"/>
          </w:divBdr>
          <w:divsChild>
            <w:div w:id="888106381">
              <w:marLeft w:val="0"/>
              <w:marRight w:val="0"/>
              <w:marTop w:val="0"/>
              <w:marBottom w:val="0"/>
              <w:divBdr>
                <w:top w:val="none" w:sz="0" w:space="0" w:color="auto"/>
                <w:left w:val="none" w:sz="0" w:space="0" w:color="auto"/>
                <w:bottom w:val="none" w:sz="0" w:space="0" w:color="auto"/>
                <w:right w:val="none" w:sz="0" w:space="0" w:color="auto"/>
              </w:divBdr>
            </w:div>
          </w:divsChild>
        </w:div>
        <w:div w:id="1828547658">
          <w:marLeft w:val="0"/>
          <w:marRight w:val="0"/>
          <w:marTop w:val="0"/>
          <w:marBottom w:val="0"/>
          <w:divBdr>
            <w:top w:val="none" w:sz="0" w:space="0" w:color="auto"/>
            <w:left w:val="none" w:sz="0" w:space="0" w:color="auto"/>
            <w:bottom w:val="none" w:sz="0" w:space="0" w:color="auto"/>
            <w:right w:val="none" w:sz="0" w:space="0" w:color="auto"/>
          </w:divBdr>
          <w:divsChild>
            <w:div w:id="1625965959">
              <w:marLeft w:val="0"/>
              <w:marRight w:val="0"/>
              <w:marTop w:val="0"/>
              <w:marBottom w:val="0"/>
              <w:divBdr>
                <w:top w:val="none" w:sz="0" w:space="0" w:color="auto"/>
                <w:left w:val="none" w:sz="0" w:space="0" w:color="auto"/>
                <w:bottom w:val="none" w:sz="0" w:space="0" w:color="auto"/>
                <w:right w:val="none" w:sz="0" w:space="0" w:color="auto"/>
              </w:divBdr>
            </w:div>
          </w:divsChild>
        </w:div>
        <w:div w:id="1905753965">
          <w:marLeft w:val="0"/>
          <w:marRight w:val="0"/>
          <w:marTop w:val="0"/>
          <w:marBottom w:val="0"/>
          <w:divBdr>
            <w:top w:val="none" w:sz="0" w:space="0" w:color="auto"/>
            <w:left w:val="none" w:sz="0" w:space="0" w:color="auto"/>
            <w:bottom w:val="none" w:sz="0" w:space="0" w:color="auto"/>
            <w:right w:val="none" w:sz="0" w:space="0" w:color="auto"/>
          </w:divBdr>
          <w:divsChild>
            <w:div w:id="836772185">
              <w:marLeft w:val="0"/>
              <w:marRight w:val="0"/>
              <w:marTop w:val="0"/>
              <w:marBottom w:val="0"/>
              <w:divBdr>
                <w:top w:val="none" w:sz="0" w:space="0" w:color="auto"/>
                <w:left w:val="none" w:sz="0" w:space="0" w:color="auto"/>
                <w:bottom w:val="none" w:sz="0" w:space="0" w:color="auto"/>
                <w:right w:val="none" w:sz="0" w:space="0" w:color="auto"/>
              </w:divBdr>
            </w:div>
          </w:divsChild>
        </w:div>
        <w:div w:id="1985356554">
          <w:marLeft w:val="0"/>
          <w:marRight w:val="0"/>
          <w:marTop w:val="0"/>
          <w:marBottom w:val="0"/>
          <w:divBdr>
            <w:top w:val="none" w:sz="0" w:space="0" w:color="auto"/>
            <w:left w:val="none" w:sz="0" w:space="0" w:color="auto"/>
            <w:bottom w:val="none" w:sz="0" w:space="0" w:color="auto"/>
            <w:right w:val="none" w:sz="0" w:space="0" w:color="auto"/>
          </w:divBdr>
          <w:divsChild>
            <w:div w:id="381635212">
              <w:marLeft w:val="0"/>
              <w:marRight w:val="0"/>
              <w:marTop w:val="0"/>
              <w:marBottom w:val="0"/>
              <w:divBdr>
                <w:top w:val="none" w:sz="0" w:space="0" w:color="auto"/>
                <w:left w:val="none" w:sz="0" w:space="0" w:color="auto"/>
                <w:bottom w:val="none" w:sz="0" w:space="0" w:color="auto"/>
                <w:right w:val="none" w:sz="0" w:space="0" w:color="auto"/>
              </w:divBdr>
            </w:div>
          </w:divsChild>
        </w:div>
        <w:div w:id="1991133001">
          <w:marLeft w:val="0"/>
          <w:marRight w:val="0"/>
          <w:marTop w:val="0"/>
          <w:marBottom w:val="0"/>
          <w:divBdr>
            <w:top w:val="none" w:sz="0" w:space="0" w:color="auto"/>
            <w:left w:val="none" w:sz="0" w:space="0" w:color="auto"/>
            <w:bottom w:val="none" w:sz="0" w:space="0" w:color="auto"/>
            <w:right w:val="none" w:sz="0" w:space="0" w:color="auto"/>
          </w:divBdr>
          <w:divsChild>
            <w:div w:id="1649897790">
              <w:marLeft w:val="0"/>
              <w:marRight w:val="0"/>
              <w:marTop w:val="0"/>
              <w:marBottom w:val="0"/>
              <w:divBdr>
                <w:top w:val="none" w:sz="0" w:space="0" w:color="auto"/>
                <w:left w:val="none" w:sz="0" w:space="0" w:color="auto"/>
                <w:bottom w:val="none" w:sz="0" w:space="0" w:color="auto"/>
                <w:right w:val="none" w:sz="0" w:space="0" w:color="auto"/>
              </w:divBdr>
            </w:div>
          </w:divsChild>
        </w:div>
        <w:div w:id="2049140063">
          <w:marLeft w:val="0"/>
          <w:marRight w:val="0"/>
          <w:marTop w:val="0"/>
          <w:marBottom w:val="0"/>
          <w:divBdr>
            <w:top w:val="none" w:sz="0" w:space="0" w:color="auto"/>
            <w:left w:val="none" w:sz="0" w:space="0" w:color="auto"/>
            <w:bottom w:val="none" w:sz="0" w:space="0" w:color="auto"/>
            <w:right w:val="none" w:sz="0" w:space="0" w:color="auto"/>
          </w:divBdr>
          <w:divsChild>
            <w:div w:id="1186094727">
              <w:marLeft w:val="0"/>
              <w:marRight w:val="0"/>
              <w:marTop w:val="0"/>
              <w:marBottom w:val="0"/>
              <w:divBdr>
                <w:top w:val="none" w:sz="0" w:space="0" w:color="auto"/>
                <w:left w:val="none" w:sz="0" w:space="0" w:color="auto"/>
                <w:bottom w:val="none" w:sz="0" w:space="0" w:color="auto"/>
                <w:right w:val="none" w:sz="0" w:space="0" w:color="auto"/>
              </w:divBdr>
            </w:div>
          </w:divsChild>
        </w:div>
        <w:div w:id="2075883859">
          <w:marLeft w:val="0"/>
          <w:marRight w:val="0"/>
          <w:marTop w:val="0"/>
          <w:marBottom w:val="0"/>
          <w:divBdr>
            <w:top w:val="none" w:sz="0" w:space="0" w:color="auto"/>
            <w:left w:val="none" w:sz="0" w:space="0" w:color="auto"/>
            <w:bottom w:val="none" w:sz="0" w:space="0" w:color="auto"/>
            <w:right w:val="none" w:sz="0" w:space="0" w:color="auto"/>
          </w:divBdr>
          <w:divsChild>
            <w:div w:id="1475562051">
              <w:marLeft w:val="0"/>
              <w:marRight w:val="0"/>
              <w:marTop w:val="0"/>
              <w:marBottom w:val="0"/>
              <w:divBdr>
                <w:top w:val="none" w:sz="0" w:space="0" w:color="auto"/>
                <w:left w:val="none" w:sz="0" w:space="0" w:color="auto"/>
                <w:bottom w:val="none" w:sz="0" w:space="0" w:color="auto"/>
                <w:right w:val="none" w:sz="0" w:space="0" w:color="auto"/>
              </w:divBdr>
            </w:div>
          </w:divsChild>
        </w:div>
        <w:div w:id="2101216738">
          <w:marLeft w:val="0"/>
          <w:marRight w:val="0"/>
          <w:marTop w:val="0"/>
          <w:marBottom w:val="0"/>
          <w:divBdr>
            <w:top w:val="none" w:sz="0" w:space="0" w:color="auto"/>
            <w:left w:val="none" w:sz="0" w:space="0" w:color="auto"/>
            <w:bottom w:val="none" w:sz="0" w:space="0" w:color="auto"/>
            <w:right w:val="none" w:sz="0" w:space="0" w:color="auto"/>
          </w:divBdr>
          <w:divsChild>
            <w:div w:id="1775058234">
              <w:marLeft w:val="0"/>
              <w:marRight w:val="0"/>
              <w:marTop w:val="0"/>
              <w:marBottom w:val="0"/>
              <w:divBdr>
                <w:top w:val="none" w:sz="0" w:space="0" w:color="auto"/>
                <w:left w:val="none" w:sz="0" w:space="0" w:color="auto"/>
                <w:bottom w:val="none" w:sz="0" w:space="0" w:color="auto"/>
                <w:right w:val="none" w:sz="0" w:space="0" w:color="auto"/>
              </w:divBdr>
            </w:div>
          </w:divsChild>
        </w:div>
        <w:div w:id="2118330573">
          <w:marLeft w:val="0"/>
          <w:marRight w:val="0"/>
          <w:marTop w:val="0"/>
          <w:marBottom w:val="0"/>
          <w:divBdr>
            <w:top w:val="none" w:sz="0" w:space="0" w:color="auto"/>
            <w:left w:val="none" w:sz="0" w:space="0" w:color="auto"/>
            <w:bottom w:val="none" w:sz="0" w:space="0" w:color="auto"/>
            <w:right w:val="none" w:sz="0" w:space="0" w:color="auto"/>
          </w:divBdr>
          <w:divsChild>
            <w:div w:id="11930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91770">
      <w:bodyDiv w:val="1"/>
      <w:marLeft w:val="0"/>
      <w:marRight w:val="0"/>
      <w:marTop w:val="0"/>
      <w:marBottom w:val="0"/>
      <w:divBdr>
        <w:top w:val="none" w:sz="0" w:space="0" w:color="auto"/>
        <w:left w:val="none" w:sz="0" w:space="0" w:color="auto"/>
        <w:bottom w:val="none" w:sz="0" w:space="0" w:color="auto"/>
        <w:right w:val="none" w:sz="0" w:space="0" w:color="auto"/>
      </w:divBdr>
    </w:div>
    <w:div w:id="745106525">
      <w:bodyDiv w:val="1"/>
      <w:marLeft w:val="0"/>
      <w:marRight w:val="0"/>
      <w:marTop w:val="0"/>
      <w:marBottom w:val="0"/>
      <w:divBdr>
        <w:top w:val="none" w:sz="0" w:space="0" w:color="auto"/>
        <w:left w:val="none" w:sz="0" w:space="0" w:color="auto"/>
        <w:bottom w:val="none" w:sz="0" w:space="0" w:color="auto"/>
        <w:right w:val="none" w:sz="0" w:space="0" w:color="auto"/>
      </w:divBdr>
    </w:div>
    <w:div w:id="772557493">
      <w:bodyDiv w:val="1"/>
      <w:marLeft w:val="0"/>
      <w:marRight w:val="0"/>
      <w:marTop w:val="0"/>
      <w:marBottom w:val="0"/>
      <w:divBdr>
        <w:top w:val="none" w:sz="0" w:space="0" w:color="auto"/>
        <w:left w:val="none" w:sz="0" w:space="0" w:color="auto"/>
        <w:bottom w:val="none" w:sz="0" w:space="0" w:color="auto"/>
        <w:right w:val="none" w:sz="0" w:space="0" w:color="auto"/>
      </w:divBdr>
      <w:divsChild>
        <w:div w:id="503276913">
          <w:marLeft w:val="0"/>
          <w:marRight w:val="0"/>
          <w:marTop w:val="0"/>
          <w:marBottom w:val="0"/>
          <w:divBdr>
            <w:top w:val="none" w:sz="0" w:space="0" w:color="auto"/>
            <w:left w:val="none" w:sz="0" w:space="0" w:color="auto"/>
            <w:bottom w:val="none" w:sz="0" w:space="0" w:color="auto"/>
            <w:right w:val="none" w:sz="0" w:space="0" w:color="auto"/>
          </w:divBdr>
        </w:div>
        <w:div w:id="907418957">
          <w:marLeft w:val="0"/>
          <w:marRight w:val="0"/>
          <w:marTop w:val="0"/>
          <w:marBottom w:val="0"/>
          <w:divBdr>
            <w:top w:val="none" w:sz="0" w:space="0" w:color="auto"/>
            <w:left w:val="none" w:sz="0" w:space="0" w:color="auto"/>
            <w:bottom w:val="none" w:sz="0" w:space="0" w:color="auto"/>
            <w:right w:val="none" w:sz="0" w:space="0" w:color="auto"/>
          </w:divBdr>
          <w:divsChild>
            <w:div w:id="1296988734">
              <w:marLeft w:val="0"/>
              <w:marRight w:val="0"/>
              <w:marTop w:val="30"/>
              <w:marBottom w:val="30"/>
              <w:divBdr>
                <w:top w:val="none" w:sz="0" w:space="0" w:color="auto"/>
                <w:left w:val="none" w:sz="0" w:space="0" w:color="auto"/>
                <w:bottom w:val="none" w:sz="0" w:space="0" w:color="auto"/>
                <w:right w:val="none" w:sz="0" w:space="0" w:color="auto"/>
              </w:divBdr>
              <w:divsChild>
                <w:div w:id="158665839">
                  <w:marLeft w:val="0"/>
                  <w:marRight w:val="0"/>
                  <w:marTop w:val="0"/>
                  <w:marBottom w:val="0"/>
                  <w:divBdr>
                    <w:top w:val="none" w:sz="0" w:space="0" w:color="auto"/>
                    <w:left w:val="none" w:sz="0" w:space="0" w:color="auto"/>
                    <w:bottom w:val="none" w:sz="0" w:space="0" w:color="auto"/>
                    <w:right w:val="none" w:sz="0" w:space="0" w:color="auto"/>
                  </w:divBdr>
                  <w:divsChild>
                    <w:div w:id="1420906645">
                      <w:marLeft w:val="0"/>
                      <w:marRight w:val="0"/>
                      <w:marTop w:val="0"/>
                      <w:marBottom w:val="0"/>
                      <w:divBdr>
                        <w:top w:val="none" w:sz="0" w:space="0" w:color="auto"/>
                        <w:left w:val="none" w:sz="0" w:space="0" w:color="auto"/>
                        <w:bottom w:val="none" w:sz="0" w:space="0" w:color="auto"/>
                        <w:right w:val="none" w:sz="0" w:space="0" w:color="auto"/>
                      </w:divBdr>
                    </w:div>
                  </w:divsChild>
                </w:div>
                <w:div w:id="196234270">
                  <w:marLeft w:val="0"/>
                  <w:marRight w:val="0"/>
                  <w:marTop w:val="0"/>
                  <w:marBottom w:val="0"/>
                  <w:divBdr>
                    <w:top w:val="none" w:sz="0" w:space="0" w:color="auto"/>
                    <w:left w:val="none" w:sz="0" w:space="0" w:color="auto"/>
                    <w:bottom w:val="none" w:sz="0" w:space="0" w:color="auto"/>
                    <w:right w:val="none" w:sz="0" w:space="0" w:color="auto"/>
                  </w:divBdr>
                  <w:divsChild>
                    <w:div w:id="451750625">
                      <w:marLeft w:val="0"/>
                      <w:marRight w:val="0"/>
                      <w:marTop w:val="0"/>
                      <w:marBottom w:val="0"/>
                      <w:divBdr>
                        <w:top w:val="none" w:sz="0" w:space="0" w:color="auto"/>
                        <w:left w:val="none" w:sz="0" w:space="0" w:color="auto"/>
                        <w:bottom w:val="none" w:sz="0" w:space="0" w:color="auto"/>
                        <w:right w:val="none" w:sz="0" w:space="0" w:color="auto"/>
                      </w:divBdr>
                    </w:div>
                  </w:divsChild>
                </w:div>
                <w:div w:id="552231589">
                  <w:marLeft w:val="0"/>
                  <w:marRight w:val="0"/>
                  <w:marTop w:val="0"/>
                  <w:marBottom w:val="0"/>
                  <w:divBdr>
                    <w:top w:val="none" w:sz="0" w:space="0" w:color="auto"/>
                    <w:left w:val="none" w:sz="0" w:space="0" w:color="auto"/>
                    <w:bottom w:val="none" w:sz="0" w:space="0" w:color="auto"/>
                    <w:right w:val="none" w:sz="0" w:space="0" w:color="auto"/>
                  </w:divBdr>
                  <w:divsChild>
                    <w:div w:id="241065314">
                      <w:marLeft w:val="0"/>
                      <w:marRight w:val="0"/>
                      <w:marTop w:val="0"/>
                      <w:marBottom w:val="0"/>
                      <w:divBdr>
                        <w:top w:val="none" w:sz="0" w:space="0" w:color="auto"/>
                        <w:left w:val="none" w:sz="0" w:space="0" w:color="auto"/>
                        <w:bottom w:val="none" w:sz="0" w:space="0" w:color="auto"/>
                        <w:right w:val="none" w:sz="0" w:space="0" w:color="auto"/>
                      </w:divBdr>
                    </w:div>
                  </w:divsChild>
                </w:div>
                <w:div w:id="653988632">
                  <w:marLeft w:val="0"/>
                  <w:marRight w:val="0"/>
                  <w:marTop w:val="0"/>
                  <w:marBottom w:val="0"/>
                  <w:divBdr>
                    <w:top w:val="none" w:sz="0" w:space="0" w:color="auto"/>
                    <w:left w:val="none" w:sz="0" w:space="0" w:color="auto"/>
                    <w:bottom w:val="none" w:sz="0" w:space="0" w:color="auto"/>
                    <w:right w:val="none" w:sz="0" w:space="0" w:color="auto"/>
                  </w:divBdr>
                  <w:divsChild>
                    <w:div w:id="342364789">
                      <w:marLeft w:val="0"/>
                      <w:marRight w:val="0"/>
                      <w:marTop w:val="0"/>
                      <w:marBottom w:val="0"/>
                      <w:divBdr>
                        <w:top w:val="none" w:sz="0" w:space="0" w:color="auto"/>
                        <w:left w:val="none" w:sz="0" w:space="0" w:color="auto"/>
                        <w:bottom w:val="none" w:sz="0" w:space="0" w:color="auto"/>
                        <w:right w:val="none" w:sz="0" w:space="0" w:color="auto"/>
                      </w:divBdr>
                    </w:div>
                  </w:divsChild>
                </w:div>
                <w:div w:id="785469629">
                  <w:marLeft w:val="0"/>
                  <w:marRight w:val="0"/>
                  <w:marTop w:val="0"/>
                  <w:marBottom w:val="0"/>
                  <w:divBdr>
                    <w:top w:val="none" w:sz="0" w:space="0" w:color="auto"/>
                    <w:left w:val="none" w:sz="0" w:space="0" w:color="auto"/>
                    <w:bottom w:val="none" w:sz="0" w:space="0" w:color="auto"/>
                    <w:right w:val="none" w:sz="0" w:space="0" w:color="auto"/>
                  </w:divBdr>
                  <w:divsChild>
                    <w:div w:id="1532499847">
                      <w:marLeft w:val="0"/>
                      <w:marRight w:val="0"/>
                      <w:marTop w:val="0"/>
                      <w:marBottom w:val="0"/>
                      <w:divBdr>
                        <w:top w:val="none" w:sz="0" w:space="0" w:color="auto"/>
                        <w:left w:val="none" w:sz="0" w:space="0" w:color="auto"/>
                        <w:bottom w:val="none" w:sz="0" w:space="0" w:color="auto"/>
                        <w:right w:val="none" w:sz="0" w:space="0" w:color="auto"/>
                      </w:divBdr>
                    </w:div>
                  </w:divsChild>
                </w:div>
                <w:div w:id="946036708">
                  <w:marLeft w:val="0"/>
                  <w:marRight w:val="0"/>
                  <w:marTop w:val="0"/>
                  <w:marBottom w:val="0"/>
                  <w:divBdr>
                    <w:top w:val="none" w:sz="0" w:space="0" w:color="auto"/>
                    <w:left w:val="none" w:sz="0" w:space="0" w:color="auto"/>
                    <w:bottom w:val="none" w:sz="0" w:space="0" w:color="auto"/>
                    <w:right w:val="none" w:sz="0" w:space="0" w:color="auto"/>
                  </w:divBdr>
                  <w:divsChild>
                    <w:div w:id="10188573">
                      <w:marLeft w:val="0"/>
                      <w:marRight w:val="0"/>
                      <w:marTop w:val="0"/>
                      <w:marBottom w:val="0"/>
                      <w:divBdr>
                        <w:top w:val="none" w:sz="0" w:space="0" w:color="auto"/>
                        <w:left w:val="none" w:sz="0" w:space="0" w:color="auto"/>
                        <w:bottom w:val="none" w:sz="0" w:space="0" w:color="auto"/>
                        <w:right w:val="none" w:sz="0" w:space="0" w:color="auto"/>
                      </w:divBdr>
                    </w:div>
                  </w:divsChild>
                </w:div>
                <w:div w:id="1051997232">
                  <w:marLeft w:val="0"/>
                  <w:marRight w:val="0"/>
                  <w:marTop w:val="0"/>
                  <w:marBottom w:val="0"/>
                  <w:divBdr>
                    <w:top w:val="none" w:sz="0" w:space="0" w:color="auto"/>
                    <w:left w:val="none" w:sz="0" w:space="0" w:color="auto"/>
                    <w:bottom w:val="none" w:sz="0" w:space="0" w:color="auto"/>
                    <w:right w:val="none" w:sz="0" w:space="0" w:color="auto"/>
                  </w:divBdr>
                  <w:divsChild>
                    <w:div w:id="1565869222">
                      <w:marLeft w:val="0"/>
                      <w:marRight w:val="0"/>
                      <w:marTop w:val="0"/>
                      <w:marBottom w:val="0"/>
                      <w:divBdr>
                        <w:top w:val="none" w:sz="0" w:space="0" w:color="auto"/>
                        <w:left w:val="none" w:sz="0" w:space="0" w:color="auto"/>
                        <w:bottom w:val="none" w:sz="0" w:space="0" w:color="auto"/>
                        <w:right w:val="none" w:sz="0" w:space="0" w:color="auto"/>
                      </w:divBdr>
                    </w:div>
                  </w:divsChild>
                </w:div>
                <w:div w:id="1077367213">
                  <w:marLeft w:val="0"/>
                  <w:marRight w:val="0"/>
                  <w:marTop w:val="0"/>
                  <w:marBottom w:val="0"/>
                  <w:divBdr>
                    <w:top w:val="none" w:sz="0" w:space="0" w:color="auto"/>
                    <w:left w:val="none" w:sz="0" w:space="0" w:color="auto"/>
                    <w:bottom w:val="none" w:sz="0" w:space="0" w:color="auto"/>
                    <w:right w:val="none" w:sz="0" w:space="0" w:color="auto"/>
                  </w:divBdr>
                  <w:divsChild>
                    <w:div w:id="666786040">
                      <w:marLeft w:val="0"/>
                      <w:marRight w:val="0"/>
                      <w:marTop w:val="0"/>
                      <w:marBottom w:val="0"/>
                      <w:divBdr>
                        <w:top w:val="none" w:sz="0" w:space="0" w:color="auto"/>
                        <w:left w:val="none" w:sz="0" w:space="0" w:color="auto"/>
                        <w:bottom w:val="none" w:sz="0" w:space="0" w:color="auto"/>
                        <w:right w:val="none" w:sz="0" w:space="0" w:color="auto"/>
                      </w:divBdr>
                    </w:div>
                  </w:divsChild>
                </w:div>
                <w:div w:id="1517308066">
                  <w:marLeft w:val="0"/>
                  <w:marRight w:val="0"/>
                  <w:marTop w:val="0"/>
                  <w:marBottom w:val="0"/>
                  <w:divBdr>
                    <w:top w:val="none" w:sz="0" w:space="0" w:color="auto"/>
                    <w:left w:val="none" w:sz="0" w:space="0" w:color="auto"/>
                    <w:bottom w:val="none" w:sz="0" w:space="0" w:color="auto"/>
                    <w:right w:val="none" w:sz="0" w:space="0" w:color="auto"/>
                  </w:divBdr>
                  <w:divsChild>
                    <w:div w:id="1312632141">
                      <w:marLeft w:val="0"/>
                      <w:marRight w:val="0"/>
                      <w:marTop w:val="0"/>
                      <w:marBottom w:val="0"/>
                      <w:divBdr>
                        <w:top w:val="none" w:sz="0" w:space="0" w:color="auto"/>
                        <w:left w:val="none" w:sz="0" w:space="0" w:color="auto"/>
                        <w:bottom w:val="none" w:sz="0" w:space="0" w:color="auto"/>
                        <w:right w:val="none" w:sz="0" w:space="0" w:color="auto"/>
                      </w:divBdr>
                    </w:div>
                    <w:div w:id="1998805794">
                      <w:marLeft w:val="0"/>
                      <w:marRight w:val="0"/>
                      <w:marTop w:val="0"/>
                      <w:marBottom w:val="0"/>
                      <w:divBdr>
                        <w:top w:val="none" w:sz="0" w:space="0" w:color="auto"/>
                        <w:left w:val="none" w:sz="0" w:space="0" w:color="auto"/>
                        <w:bottom w:val="none" w:sz="0" w:space="0" w:color="auto"/>
                        <w:right w:val="none" w:sz="0" w:space="0" w:color="auto"/>
                      </w:divBdr>
                    </w:div>
                  </w:divsChild>
                </w:div>
                <w:div w:id="1604849118">
                  <w:marLeft w:val="0"/>
                  <w:marRight w:val="0"/>
                  <w:marTop w:val="0"/>
                  <w:marBottom w:val="0"/>
                  <w:divBdr>
                    <w:top w:val="none" w:sz="0" w:space="0" w:color="auto"/>
                    <w:left w:val="none" w:sz="0" w:space="0" w:color="auto"/>
                    <w:bottom w:val="none" w:sz="0" w:space="0" w:color="auto"/>
                    <w:right w:val="none" w:sz="0" w:space="0" w:color="auto"/>
                  </w:divBdr>
                  <w:divsChild>
                    <w:div w:id="745225499">
                      <w:marLeft w:val="0"/>
                      <w:marRight w:val="0"/>
                      <w:marTop w:val="0"/>
                      <w:marBottom w:val="0"/>
                      <w:divBdr>
                        <w:top w:val="none" w:sz="0" w:space="0" w:color="auto"/>
                        <w:left w:val="none" w:sz="0" w:space="0" w:color="auto"/>
                        <w:bottom w:val="none" w:sz="0" w:space="0" w:color="auto"/>
                        <w:right w:val="none" w:sz="0" w:space="0" w:color="auto"/>
                      </w:divBdr>
                    </w:div>
                  </w:divsChild>
                </w:div>
                <w:div w:id="1762295549">
                  <w:marLeft w:val="0"/>
                  <w:marRight w:val="0"/>
                  <w:marTop w:val="0"/>
                  <w:marBottom w:val="0"/>
                  <w:divBdr>
                    <w:top w:val="none" w:sz="0" w:space="0" w:color="auto"/>
                    <w:left w:val="none" w:sz="0" w:space="0" w:color="auto"/>
                    <w:bottom w:val="none" w:sz="0" w:space="0" w:color="auto"/>
                    <w:right w:val="none" w:sz="0" w:space="0" w:color="auto"/>
                  </w:divBdr>
                  <w:divsChild>
                    <w:div w:id="2078353600">
                      <w:marLeft w:val="0"/>
                      <w:marRight w:val="0"/>
                      <w:marTop w:val="0"/>
                      <w:marBottom w:val="0"/>
                      <w:divBdr>
                        <w:top w:val="none" w:sz="0" w:space="0" w:color="auto"/>
                        <w:left w:val="none" w:sz="0" w:space="0" w:color="auto"/>
                        <w:bottom w:val="none" w:sz="0" w:space="0" w:color="auto"/>
                        <w:right w:val="none" w:sz="0" w:space="0" w:color="auto"/>
                      </w:divBdr>
                    </w:div>
                  </w:divsChild>
                </w:div>
                <w:div w:id="1818375416">
                  <w:marLeft w:val="0"/>
                  <w:marRight w:val="0"/>
                  <w:marTop w:val="0"/>
                  <w:marBottom w:val="0"/>
                  <w:divBdr>
                    <w:top w:val="none" w:sz="0" w:space="0" w:color="auto"/>
                    <w:left w:val="none" w:sz="0" w:space="0" w:color="auto"/>
                    <w:bottom w:val="none" w:sz="0" w:space="0" w:color="auto"/>
                    <w:right w:val="none" w:sz="0" w:space="0" w:color="auto"/>
                  </w:divBdr>
                  <w:divsChild>
                    <w:div w:id="1645894755">
                      <w:marLeft w:val="0"/>
                      <w:marRight w:val="0"/>
                      <w:marTop w:val="0"/>
                      <w:marBottom w:val="0"/>
                      <w:divBdr>
                        <w:top w:val="none" w:sz="0" w:space="0" w:color="auto"/>
                        <w:left w:val="none" w:sz="0" w:space="0" w:color="auto"/>
                        <w:bottom w:val="none" w:sz="0" w:space="0" w:color="auto"/>
                        <w:right w:val="none" w:sz="0" w:space="0" w:color="auto"/>
                      </w:divBdr>
                    </w:div>
                  </w:divsChild>
                </w:div>
                <w:div w:id="1821729921">
                  <w:marLeft w:val="0"/>
                  <w:marRight w:val="0"/>
                  <w:marTop w:val="0"/>
                  <w:marBottom w:val="0"/>
                  <w:divBdr>
                    <w:top w:val="none" w:sz="0" w:space="0" w:color="auto"/>
                    <w:left w:val="none" w:sz="0" w:space="0" w:color="auto"/>
                    <w:bottom w:val="none" w:sz="0" w:space="0" w:color="auto"/>
                    <w:right w:val="none" w:sz="0" w:space="0" w:color="auto"/>
                  </w:divBdr>
                  <w:divsChild>
                    <w:div w:id="52973613">
                      <w:marLeft w:val="0"/>
                      <w:marRight w:val="0"/>
                      <w:marTop w:val="0"/>
                      <w:marBottom w:val="0"/>
                      <w:divBdr>
                        <w:top w:val="none" w:sz="0" w:space="0" w:color="auto"/>
                        <w:left w:val="none" w:sz="0" w:space="0" w:color="auto"/>
                        <w:bottom w:val="none" w:sz="0" w:space="0" w:color="auto"/>
                        <w:right w:val="none" w:sz="0" w:space="0" w:color="auto"/>
                      </w:divBdr>
                    </w:div>
                  </w:divsChild>
                </w:div>
                <w:div w:id="1924947329">
                  <w:marLeft w:val="0"/>
                  <w:marRight w:val="0"/>
                  <w:marTop w:val="0"/>
                  <w:marBottom w:val="0"/>
                  <w:divBdr>
                    <w:top w:val="none" w:sz="0" w:space="0" w:color="auto"/>
                    <w:left w:val="none" w:sz="0" w:space="0" w:color="auto"/>
                    <w:bottom w:val="none" w:sz="0" w:space="0" w:color="auto"/>
                    <w:right w:val="none" w:sz="0" w:space="0" w:color="auto"/>
                  </w:divBdr>
                  <w:divsChild>
                    <w:div w:id="1019434003">
                      <w:marLeft w:val="0"/>
                      <w:marRight w:val="0"/>
                      <w:marTop w:val="0"/>
                      <w:marBottom w:val="0"/>
                      <w:divBdr>
                        <w:top w:val="none" w:sz="0" w:space="0" w:color="auto"/>
                        <w:left w:val="none" w:sz="0" w:space="0" w:color="auto"/>
                        <w:bottom w:val="none" w:sz="0" w:space="0" w:color="auto"/>
                        <w:right w:val="none" w:sz="0" w:space="0" w:color="auto"/>
                      </w:divBdr>
                    </w:div>
                  </w:divsChild>
                </w:div>
                <w:div w:id="1979416455">
                  <w:marLeft w:val="0"/>
                  <w:marRight w:val="0"/>
                  <w:marTop w:val="0"/>
                  <w:marBottom w:val="0"/>
                  <w:divBdr>
                    <w:top w:val="none" w:sz="0" w:space="0" w:color="auto"/>
                    <w:left w:val="none" w:sz="0" w:space="0" w:color="auto"/>
                    <w:bottom w:val="none" w:sz="0" w:space="0" w:color="auto"/>
                    <w:right w:val="none" w:sz="0" w:space="0" w:color="auto"/>
                  </w:divBdr>
                  <w:divsChild>
                    <w:div w:id="42797406">
                      <w:marLeft w:val="0"/>
                      <w:marRight w:val="0"/>
                      <w:marTop w:val="0"/>
                      <w:marBottom w:val="0"/>
                      <w:divBdr>
                        <w:top w:val="none" w:sz="0" w:space="0" w:color="auto"/>
                        <w:left w:val="none" w:sz="0" w:space="0" w:color="auto"/>
                        <w:bottom w:val="none" w:sz="0" w:space="0" w:color="auto"/>
                        <w:right w:val="none" w:sz="0" w:space="0" w:color="auto"/>
                      </w:divBdr>
                    </w:div>
                  </w:divsChild>
                </w:div>
                <w:div w:id="2061048346">
                  <w:marLeft w:val="0"/>
                  <w:marRight w:val="0"/>
                  <w:marTop w:val="0"/>
                  <w:marBottom w:val="0"/>
                  <w:divBdr>
                    <w:top w:val="none" w:sz="0" w:space="0" w:color="auto"/>
                    <w:left w:val="none" w:sz="0" w:space="0" w:color="auto"/>
                    <w:bottom w:val="none" w:sz="0" w:space="0" w:color="auto"/>
                    <w:right w:val="none" w:sz="0" w:space="0" w:color="auto"/>
                  </w:divBdr>
                  <w:divsChild>
                    <w:div w:id="184123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03772">
          <w:marLeft w:val="0"/>
          <w:marRight w:val="0"/>
          <w:marTop w:val="0"/>
          <w:marBottom w:val="0"/>
          <w:divBdr>
            <w:top w:val="none" w:sz="0" w:space="0" w:color="auto"/>
            <w:left w:val="none" w:sz="0" w:space="0" w:color="auto"/>
            <w:bottom w:val="none" w:sz="0" w:space="0" w:color="auto"/>
            <w:right w:val="none" w:sz="0" w:space="0" w:color="auto"/>
          </w:divBdr>
        </w:div>
      </w:divsChild>
    </w:div>
    <w:div w:id="786243202">
      <w:bodyDiv w:val="1"/>
      <w:marLeft w:val="0"/>
      <w:marRight w:val="0"/>
      <w:marTop w:val="0"/>
      <w:marBottom w:val="0"/>
      <w:divBdr>
        <w:top w:val="none" w:sz="0" w:space="0" w:color="auto"/>
        <w:left w:val="none" w:sz="0" w:space="0" w:color="auto"/>
        <w:bottom w:val="none" w:sz="0" w:space="0" w:color="auto"/>
        <w:right w:val="none" w:sz="0" w:space="0" w:color="auto"/>
      </w:divBdr>
    </w:div>
    <w:div w:id="815531060">
      <w:bodyDiv w:val="1"/>
      <w:marLeft w:val="0"/>
      <w:marRight w:val="0"/>
      <w:marTop w:val="0"/>
      <w:marBottom w:val="0"/>
      <w:divBdr>
        <w:top w:val="none" w:sz="0" w:space="0" w:color="auto"/>
        <w:left w:val="none" w:sz="0" w:space="0" w:color="auto"/>
        <w:bottom w:val="none" w:sz="0" w:space="0" w:color="auto"/>
        <w:right w:val="none" w:sz="0" w:space="0" w:color="auto"/>
      </w:divBdr>
    </w:div>
    <w:div w:id="822039022">
      <w:bodyDiv w:val="1"/>
      <w:marLeft w:val="0"/>
      <w:marRight w:val="0"/>
      <w:marTop w:val="0"/>
      <w:marBottom w:val="0"/>
      <w:divBdr>
        <w:top w:val="none" w:sz="0" w:space="0" w:color="auto"/>
        <w:left w:val="none" w:sz="0" w:space="0" w:color="auto"/>
        <w:bottom w:val="none" w:sz="0" w:space="0" w:color="auto"/>
        <w:right w:val="none" w:sz="0" w:space="0" w:color="auto"/>
      </w:divBdr>
    </w:div>
    <w:div w:id="834414860">
      <w:bodyDiv w:val="1"/>
      <w:marLeft w:val="0"/>
      <w:marRight w:val="0"/>
      <w:marTop w:val="0"/>
      <w:marBottom w:val="0"/>
      <w:divBdr>
        <w:top w:val="none" w:sz="0" w:space="0" w:color="auto"/>
        <w:left w:val="none" w:sz="0" w:space="0" w:color="auto"/>
        <w:bottom w:val="none" w:sz="0" w:space="0" w:color="auto"/>
        <w:right w:val="none" w:sz="0" w:space="0" w:color="auto"/>
      </w:divBdr>
    </w:div>
    <w:div w:id="962614551">
      <w:bodyDiv w:val="1"/>
      <w:marLeft w:val="0"/>
      <w:marRight w:val="0"/>
      <w:marTop w:val="0"/>
      <w:marBottom w:val="0"/>
      <w:divBdr>
        <w:top w:val="none" w:sz="0" w:space="0" w:color="auto"/>
        <w:left w:val="none" w:sz="0" w:space="0" w:color="auto"/>
        <w:bottom w:val="none" w:sz="0" w:space="0" w:color="auto"/>
        <w:right w:val="none" w:sz="0" w:space="0" w:color="auto"/>
      </w:divBdr>
    </w:div>
    <w:div w:id="995762456">
      <w:bodyDiv w:val="1"/>
      <w:marLeft w:val="0"/>
      <w:marRight w:val="0"/>
      <w:marTop w:val="0"/>
      <w:marBottom w:val="0"/>
      <w:divBdr>
        <w:top w:val="none" w:sz="0" w:space="0" w:color="auto"/>
        <w:left w:val="none" w:sz="0" w:space="0" w:color="auto"/>
        <w:bottom w:val="none" w:sz="0" w:space="0" w:color="auto"/>
        <w:right w:val="none" w:sz="0" w:space="0" w:color="auto"/>
      </w:divBdr>
    </w:div>
    <w:div w:id="1174804449">
      <w:bodyDiv w:val="1"/>
      <w:marLeft w:val="0"/>
      <w:marRight w:val="0"/>
      <w:marTop w:val="0"/>
      <w:marBottom w:val="0"/>
      <w:divBdr>
        <w:top w:val="none" w:sz="0" w:space="0" w:color="auto"/>
        <w:left w:val="none" w:sz="0" w:space="0" w:color="auto"/>
        <w:bottom w:val="none" w:sz="0" w:space="0" w:color="auto"/>
        <w:right w:val="none" w:sz="0" w:space="0" w:color="auto"/>
      </w:divBdr>
    </w:div>
    <w:div w:id="1219048524">
      <w:bodyDiv w:val="1"/>
      <w:marLeft w:val="0"/>
      <w:marRight w:val="0"/>
      <w:marTop w:val="0"/>
      <w:marBottom w:val="0"/>
      <w:divBdr>
        <w:top w:val="none" w:sz="0" w:space="0" w:color="auto"/>
        <w:left w:val="none" w:sz="0" w:space="0" w:color="auto"/>
        <w:bottom w:val="none" w:sz="0" w:space="0" w:color="auto"/>
        <w:right w:val="none" w:sz="0" w:space="0" w:color="auto"/>
      </w:divBdr>
    </w:div>
    <w:div w:id="1470249163">
      <w:bodyDiv w:val="1"/>
      <w:marLeft w:val="0"/>
      <w:marRight w:val="0"/>
      <w:marTop w:val="0"/>
      <w:marBottom w:val="0"/>
      <w:divBdr>
        <w:top w:val="none" w:sz="0" w:space="0" w:color="auto"/>
        <w:left w:val="none" w:sz="0" w:space="0" w:color="auto"/>
        <w:bottom w:val="none" w:sz="0" w:space="0" w:color="auto"/>
        <w:right w:val="none" w:sz="0" w:space="0" w:color="auto"/>
      </w:divBdr>
    </w:div>
    <w:div w:id="1604921415">
      <w:bodyDiv w:val="1"/>
      <w:marLeft w:val="0"/>
      <w:marRight w:val="0"/>
      <w:marTop w:val="0"/>
      <w:marBottom w:val="0"/>
      <w:divBdr>
        <w:top w:val="none" w:sz="0" w:space="0" w:color="auto"/>
        <w:left w:val="none" w:sz="0" w:space="0" w:color="auto"/>
        <w:bottom w:val="none" w:sz="0" w:space="0" w:color="auto"/>
        <w:right w:val="none" w:sz="0" w:space="0" w:color="auto"/>
      </w:divBdr>
    </w:div>
    <w:div w:id="1623263580">
      <w:bodyDiv w:val="1"/>
      <w:marLeft w:val="0"/>
      <w:marRight w:val="0"/>
      <w:marTop w:val="0"/>
      <w:marBottom w:val="0"/>
      <w:divBdr>
        <w:top w:val="none" w:sz="0" w:space="0" w:color="auto"/>
        <w:left w:val="none" w:sz="0" w:space="0" w:color="auto"/>
        <w:bottom w:val="none" w:sz="0" w:space="0" w:color="auto"/>
        <w:right w:val="none" w:sz="0" w:space="0" w:color="auto"/>
      </w:divBdr>
    </w:div>
    <w:div w:id="1733693496">
      <w:bodyDiv w:val="1"/>
      <w:marLeft w:val="0"/>
      <w:marRight w:val="0"/>
      <w:marTop w:val="0"/>
      <w:marBottom w:val="0"/>
      <w:divBdr>
        <w:top w:val="none" w:sz="0" w:space="0" w:color="auto"/>
        <w:left w:val="none" w:sz="0" w:space="0" w:color="auto"/>
        <w:bottom w:val="none" w:sz="0" w:space="0" w:color="auto"/>
        <w:right w:val="none" w:sz="0" w:space="0" w:color="auto"/>
      </w:divBdr>
    </w:div>
    <w:div w:id="1777210540">
      <w:bodyDiv w:val="1"/>
      <w:marLeft w:val="0"/>
      <w:marRight w:val="0"/>
      <w:marTop w:val="0"/>
      <w:marBottom w:val="0"/>
      <w:divBdr>
        <w:top w:val="none" w:sz="0" w:space="0" w:color="auto"/>
        <w:left w:val="none" w:sz="0" w:space="0" w:color="auto"/>
        <w:bottom w:val="none" w:sz="0" w:space="0" w:color="auto"/>
        <w:right w:val="none" w:sz="0" w:space="0" w:color="auto"/>
      </w:divBdr>
    </w:div>
    <w:div w:id="1784838212">
      <w:bodyDiv w:val="1"/>
      <w:marLeft w:val="0"/>
      <w:marRight w:val="0"/>
      <w:marTop w:val="0"/>
      <w:marBottom w:val="0"/>
      <w:divBdr>
        <w:top w:val="none" w:sz="0" w:space="0" w:color="auto"/>
        <w:left w:val="none" w:sz="0" w:space="0" w:color="auto"/>
        <w:bottom w:val="none" w:sz="0" w:space="0" w:color="auto"/>
        <w:right w:val="none" w:sz="0" w:space="0" w:color="auto"/>
      </w:divBdr>
    </w:div>
    <w:div w:id="1843350486">
      <w:bodyDiv w:val="1"/>
      <w:marLeft w:val="0"/>
      <w:marRight w:val="0"/>
      <w:marTop w:val="0"/>
      <w:marBottom w:val="0"/>
      <w:divBdr>
        <w:top w:val="none" w:sz="0" w:space="0" w:color="auto"/>
        <w:left w:val="none" w:sz="0" w:space="0" w:color="auto"/>
        <w:bottom w:val="none" w:sz="0" w:space="0" w:color="auto"/>
        <w:right w:val="none" w:sz="0" w:space="0" w:color="auto"/>
      </w:divBdr>
    </w:div>
    <w:div w:id="2008971318">
      <w:bodyDiv w:val="1"/>
      <w:marLeft w:val="0"/>
      <w:marRight w:val="0"/>
      <w:marTop w:val="0"/>
      <w:marBottom w:val="0"/>
      <w:divBdr>
        <w:top w:val="none" w:sz="0" w:space="0" w:color="auto"/>
        <w:left w:val="none" w:sz="0" w:space="0" w:color="auto"/>
        <w:bottom w:val="none" w:sz="0" w:space="0" w:color="auto"/>
        <w:right w:val="none" w:sz="0" w:space="0" w:color="auto"/>
      </w:divBdr>
      <w:divsChild>
        <w:div w:id="24865244">
          <w:marLeft w:val="0"/>
          <w:marRight w:val="0"/>
          <w:marTop w:val="0"/>
          <w:marBottom w:val="0"/>
          <w:divBdr>
            <w:top w:val="none" w:sz="0" w:space="0" w:color="auto"/>
            <w:left w:val="none" w:sz="0" w:space="0" w:color="auto"/>
            <w:bottom w:val="none" w:sz="0" w:space="0" w:color="auto"/>
            <w:right w:val="none" w:sz="0" w:space="0" w:color="auto"/>
          </w:divBdr>
          <w:divsChild>
            <w:div w:id="424154297">
              <w:marLeft w:val="0"/>
              <w:marRight w:val="0"/>
              <w:marTop w:val="0"/>
              <w:marBottom w:val="0"/>
              <w:divBdr>
                <w:top w:val="none" w:sz="0" w:space="0" w:color="auto"/>
                <w:left w:val="none" w:sz="0" w:space="0" w:color="auto"/>
                <w:bottom w:val="none" w:sz="0" w:space="0" w:color="auto"/>
                <w:right w:val="none" w:sz="0" w:space="0" w:color="auto"/>
              </w:divBdr>
            </w:div>
          </w:divsChild>
        </w:div>
        <w:div w:id="271477535">
          <w:marLeft w:val="0"/>
          <w:marRight w:val="0"/>
          <w:marTop w:val="0"/>
          <w:marBottom w:val="0"/>
          <w:divBdr>
            <w:top w:val="none" w:sz="0" w:space="0" w:color="auto"/>
            <w:left w:val="none" w:sz="0" w:space="0" w:color="auto"/>
            <w:bottom w:val="none" w:sz="0" w:space="0" w:color="auto"/>
            <w:right w:val="none" w:sz="0" w:space="0" w:color="auto"/>
          </w:divBdr>
          <w:divsChild>
            <w:div w:id="1452673372">
              <w:marLeft w:val="0"/>
              <w:marRight w:val="0"/>
              <w:marTop w:val="0"/>
              <w:marBottom w:val="0"/>
              <w:divBdr>
                <w:top w:val="none" w:sz="0" w:space="0" w:color="auto"/>
                <w:left w:val="none" w:sz="0" w:space="0" w:color="auto"/>
                <w:bottom w:val="none" w:sz="0" w:space="0" w:color="auto"/>
                <w:right w:val="none" w:sz="0" w:space="0" w:color="auto"/>
              </w:divBdr>
            </w:div>
          </w:divsChild>
        </w:div>
        <w:div w:id="321079698">
          <w:marLeft w:val="0"/>
          <w:marRight w:val="0"/>
          <w:marTop w:val="0"/>
          <w:marBottom w:val="0"/>
          <w:divBdr>
            <w:top w:val="none" w:sz="0" w:space="0" w:color="auto"/>
            <w:left w:val="none" w:sz="0" w:space="0" w:color="auto"/>
            <w:bottom w:val="none" w:sz="0" w:space="0" w:color="auto"/>
            <w:right w:val="none" w:sz="0" w:space="0" w:color="auto"/>
          </w:divBdr>
          <w:divsChild>
            <w:div w:id="1556315622">
              <w:marLeft w:val="0"/>
              <w:marRight w:val="0"/>
              <w:marTop w:val="0"/>
              <w:marBottom w:val="0"/>
              <w:divBdr>
                <w:top w:val="none" w:sz="0" w:space="0" w:color="auto"/>
                <w:left w:val="none" w:sz="0" w:space="0" w:color="auto"/>
                <w:bottom w:val="none" w:sz="0" w:space="0" w:color="auto"/>
                <w:right w:val="none" w:sz="0" w:space="0" w:color="auto"/>
              </w:divBdr>
            </w:div>
          </w:divsChild>
        </w:div>
        <w:div w:id="506864896">
          <w:marLeft w:val="0"/>
          <w:marRight w:val="0"/>
          <w:marTop w:val="0"/>
          <w:marBottom w:val="0"/>
          <w:divBdr>
            <w:top w:val="none" w:sz="0" w:space="0" w:color="auto"/>
            <w:left w:val="none" w:sz="0" w:space="0" w:color="auto"/>
            <w:bottom w:val="none" w:sz="0" w:space="0" w:color="auto"/>
            <w:right w:val="none" w:sz="0" w:space="0" w:color="auto"/>
          </w:divBdr>
          <w:divsChild>
            <w:div w:id="142940599">
              <w:marLeft w:val="0"/>
              <w:marRight w:val="0"/>
              <w:marTop w:val="0"/>
              <w:marBottom w:val="0"/>
              <w:divBdr>
                <w:top w:val="none" w:sz="0" w:space="0" w:color="auto"/>
                <w:left w:val="none" w:sz="0" w:space="0" w:color="auto"/>
                <w:bottom w:val="none" w:sz="0" w:space="0" w:color="auto"/>
                <w:right w:val="none" w:sz="0" w:space="0" w:color="auto"/>
              </w:divBdr>
            </w:div>
          </w:divsChild>
        </w:div>
        <w:div w:id="588081704">
          <w:marLeft w:val="0"/>
          <w:marRight w:val="0"/>
          <w:marTop w:val="0"/>
          <w:marBottom w:val="0"/>
          <w:divBdr>
            <w:top w:val="none" w:sz="0" w:space="0" w:color="auto"/>
            <w:left w:val="none" w:sz="0" w:space="0" w:color="auto"/>
            <w:bottom w:val="none" w:sz="0" w:space="0" w:color="auto"/>
            <w:right w:val="none" w:sz="0" w:space="0" w:color="auto"/>
          </w:divBdr>
          <w:divsChild>
            <w:div w:id="45375532">
              <w:marLeft w:val="0"/>
              <w:marRight w:val="0"/>
              <w:marTop w:val="0"/>
              <w:marBottom w:val="0"/>
              <w:divBdr>
                <w:top w:val="none" w:sz="0" w:space="0" w:color="auto"/>
                <w:left w:val="none" w:sz="0" w:space="0" w:color="auto"/>
                <w:bottom w:val="none" w:sz="0" w:space="0" w:color="auto"/>
                <w:right w:val="none" w:sz="0" w:space="0" w:color="auto"/>
              </w:divBdr>
            </w:div>
          </w:divsChild>
        </w:div>
        <w:div w:id="717511575">
          <w:marLeft w:val="0"/>
          <w:marRight w:val="0"/>
          <w:marTop w:val="0"/>
          <w:marBottom w:val="0"/>
          <w:divBdr>
            <w:top w:val="none" w:sz="0" w:space="0" w:color="auto"/>
            <w:left w:val="none" w:sz="0" w:space="0" w:color="auto"/>
            <w:bottom w:val="none" w:sz="0" w:space="0" w:color="auto"/>
            <w:right w:val="none" w:sz="0" w:space="0" w:color="auto"/>
          </w:divBdr>
          <w:divsChild>
            <w:div w:id="64113360">
              <w:marLeft w:val="0"/>
              <w:marRight w:val="0"/>
              <w:marTop w:val="0"/>
              <w:marBottom w:val="0"/>
              <w:divBdr>
                <w:top w:val="none" w:sz="0" w:space="0" w:color="auto"/>
                <w:left w:val="none" w:sz="0" w:space="0" w:color="auto"/>
                <w:bottom w:val="none" w:sz="0" w:space="0" w:color="auto"/>
                <w:right w:val="none" w:sz="0" w:space="0" w:color="auto"/>
              </w:divBdr>
            </w:div>
          </w:divsChild>
        </w:div>
        <w:div w:id="991061792">
          <w:marLeft w:val="0"/>
          <w:marRight w:val="0"/>
          <w:marTop w:val="0"/>
          <w:marBottom w:val="0"/>
          <w:divBdr>
            <w:top w:val="none" w:sz="0" w:space="0" w:color="auto"/>
            <w:left w:val="none" w:sz="0" w:space="0" w:color="auto"/>
            <w:bottom w:val="none" w:sz="0" w:space="0" w:color="auto"/>
            <w:right w:val="none" w:sz="0" w:space="0" w:color="auto"/>
          </w:divBdr>
          <w:divsChild>
            <w:div w:id="859204300">
              <w:marLeft w:val="0"/>
              <w:marRight w:val="0"/>
              <w:marTop w:val="0"/>
              <w:marBottom w:val="0"/>
              <w:divBdr>
                <w:top w:val="none" w:sz="0" w:space="0" w:color="auto"/>
                <w:left w:val="none" w:sz="0" w:space="0" w:color="auto"/>
                <w:bottom w:val="none" w:sz="0" w:space="0" w:color="auto"/>
                <w:right w:val="none" w:sz="0" w:space="0" w:color="auto"/>
              </w:divBdr>
            </w:div>
          </w:divsChild>
        </w:div>
        <w:div w:id="1507596291">
          <w:marLeft w:val="0"/>
          <w:marRight w:val="0"/>
          <w:marTop w:val="0"/>
          <w:marBottom w:val="0"/>
          <w:divBdr>
            <w:top w:val="none" w:sz="0" w:space="0" w:color="auto"/>
            <w:left w:val="none" w:sz="0" w:space="0" w:color="auto"/>
            <w:bottom w:val="none" w:sz="0" w:space="0" w:color="auto"/>
            <w:right w:val="none" w:sz="0" w:space="0" w:color="auto"/>
          </w:divBdr>
          <w:divsChild>
            <w:div w:id="1507669695">
              <w:marLeft w:val="0"/>
              <w:marRight w:val="0"/>
              <w:marTop w:val="0"/>
              <w:marBottom w:val="0"/>
              <w:divBdr>
                <w:top w:val="none" w:sz="0" w:space="0" w:color="auto"/>
                <w:left w:val="none" w:sz="0" w:space="0" w:color="auto"/>
                <w:bottom w:val="none" w:sz="0" w:space="0" w:color="auto"/>
                <w:right w:val="none" w:sz="0" w:space="0" w:color="auto"/>
              </w:divBdr>
            </w:div>
          </w:divsChild>
        </w:div>
        <w:div w:id="1880704165">
          <w:marLeft w:val="0"/>
          <w:marRight w:val="0"/>
          <w:marTop w:val="0"/>
          <w:marBottom w:val="0"/>
          <w:divBdr>
            <w:top w:val="none" w:sz="0" w:space="0" w:color="auto"/>
            <w:left w:val="none" w:sz="0" w:space="0" w:color="auto"/>
            <w:bottom w:val="none" w:sz="0" w:space="0" w:color="auto"/>
            <w:right w:val="none" w:sz="0" w:space="0" w:color="auto"/>
          </w:divBdr>
          <w:divsChild>
            <w:div w:id="1057243230">
              <w:marLeft w:val="0"/>
              <w:marRight w:val="0"/>
              <w:marTop w:val="0"/>
              <w:marBottom w:val="0"/>
              <w:divBdr>
                <w:top w:val="none" w:sz="0" w:space="0" w:color="auto"/>
                <w:left w:val="none" w:sz="0" w:space="0" w:color="auto"/>
                <w:bottom w:val="none" w:sz="0" w:space="0" w:color="auto"/>
                <w:right w:val="none" w:sz="0" w:space="0" w:color="auto"/>
              </w:divBdr>
            </w:div>
          </w:divsChild>
        </w:div>
        <w:div w:id="2129003659">
          <w:marLeft w:val="0"/>
          <w:marRight w:val="0"/>
          <w:marTop w:val="0"/>
          <w:marBottom w:val="0"/>
          <w:divBdr>
            <w:top w:val="none" w:sz="0" w:space="0" w:color="auto"/>
            <w:left w:val="none" w:sz="0" w:space="0" w:color="auto"/>
            <w:bottom w:val="none" w:sz="0" w:space="0" w:color="auto"/>
            <w:right w:val="none" w:sz="0" w:space="0" w:color="auto"/>
          </w:divBdr>
          <w:divsChild>
            <w:div w:id="1460150998">
              <w:marLeft w:val="0"/>
              <w:marRight w:val="0"/>
              <w:marTop w:val="0"/>
              <w:marBottom w:val="0"/>
              <w:divBdr>
                <w:top w:val="none" w:sz="0" w:space="0" w:color="auto"/>
                <w:left w:val="none" w:sz="0" w:space="0" w:color="auto"/>
                <w:bottom w:val="none" w:sz="0" w:space="0" w:color="auto"/>
                <w:right w:val="none" w:sz="0" w:space="0" w:color="auto"/>
              </w:divBdr>
            </w:div>
          </w:divsChild>
        </w:div>
        <w:div w:id="2136680416">
          <w:marLeft w:val="0"/>
          <w:marRight w:val="0"/>
          <w:marTop w:val="0"/>
          <w:marBottom w:val="0"/>
          <w:divBdr>
            <w:top w:val="none" w:sz="0" w:space="0" w:color="auto"/>
            <w:left w:val="none" w:sz="0" w:space="0" w:color="auto"/>
            <w:bottom w:val="none" w:sz="0" w:space="0" w:color="auto"/>
            <w:right w:val="none" w:sz="0" w:space="0" w:color="auto"/>
          </w:divBdr>
          <w:divsChild>
            <w:div w:id="3763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66603">
      <w:bodyDiv w:val="1"/>
      <w:marLeft w:val="0"/>
      <w:marRight w:val="0"/>
      <w:marTop w:val="0"/>
      <w:marBottom w:val="0"/>
      <w:divBdr>
        <w:top w:val="none" w:sz="0" w:space="0" w:color="auto"/>
        <w:left w:val="none" w:sz="0" w:space="0" w:color="auto"/>
        <w:bottom w:val="none" w:sz="0" w:space="0" w:color="auto"/>
        <w:right w:val="none" w:sz="0" w:space="0" w:color="auto"/>
      </w:divBdr>
    </w:div>
    <w:div w:id="2122411257">
      <w:bodyDiv w:val="1"/>
      <w:marLeft w:val="0"/>
      <w:marRight w:val="0"/>
      <w:marTop w:val="0"/>
      <w:marBottom w:val="0"/>
      <w:divBdr>
        <w:top w:val="none" w:sz="0" w:space="0" w:color="auto"/>
        <w:left w:val="none" w:sz="0" w:space="0" w:color="auto"/>
        <w:bottom w:val="none" w:sz="0" w:space="0" w:color="auto"/>
        <w:right w:val="none" w:sz="0" w:space="0" w:color="auto"/>
      </w:divBdr>
    </w:div>
    <w:div w:id="2140299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ointcorestrategy.org/" TargetMode="External"/><Relationship Id="rId18" Type="http://schemas.openxmlformats.org/officeDocument/2006/relationships/hyperlink" Target="https://www.gov.uk/guidance/housing-supply-and-deliver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uidance/housing-and-economic-development-needs-assessments" TargetMode="External"/><Relationship Id="rId7" Type="http://schemas.openxmlformats.org/officeDocument/2006/relationships/settings" Target="settings.xml"/><Relationship Id="rId12" Type="http://schemas.openxmlformats.org/officeDocument/2006/relationships/hyperlink" Target="https://assets.publishing.service.gov.uk/media/675abd214cbda57cacd3476e/NPPF-December-2024.pdf" TargetMode="External"/><Relationship Id="rId17" Type="http://schemas.openxmlformats.org/officeDocument/2006/relationships/hyperlink" Target="https://www.gov.uk/government/publications/housing-delivery-test-2023-measurem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lichfields.uk/media/w3wjmws0/start-to-finish-3_how-quickly-do-large-scale-housing-sites-delive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guidance/housing-and-economic-development-needs-assessments" TargetMode="External"/><Relationship Id="rId23" Type="http://schemas.openxmlformats.org/officeDocument/2006/relationships/hyperlink" Target="https://www.ons.gov.uk/peoplepopulationandcommunity/housing/datasets/ratioofhousepricetoworkplacebasedearningslowerquartileandmedian" TargetMode="External"/><Relationship Id="rId10" Type="http://schemas.openxmlformats.org/officeDocument/2006/relationships/endnotes" Target="endnotes.xml"/><Relationship Id="rId19" Type="http://schemas.openxmlformats.org/officeDocument/2006/relationships/hyperlink" Target="https://www.gloucester.gov.uk/planning-development/planning-policy/monitoring-five-year-housing-land-suppl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eltenham.gov.uk/downloads/file/9720/cheltenham_borough_local_development_scheme" TargetMode="External"/><Relationship Id="rId22" Type="http://schemas.openxmlformats.org/officeDocument/2006/relationships/hyperlink" Target="https://assets.publishing.service.gov.uk/media/664da823f34f9b5a56adcbf2/LT_125.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888eed3-621b-4d3b-904c-e3413ee02c65" xsi:nil="true"/>
    <lcf76f155ced4ddcb4097134ff3c332f xmlns="c25db688-7725-4690-b3a8-480c517bb02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407B675B920B4D9E03A22DE293F011" ma:contentTypeVersion="15" ma:contentTypeDescription="Create a new document." ma:contentTypeScope="" ma:versionID="bc54e1eb77c921b52472121e5def40af">
  <xsd:schema xmlns:xsd="http://www.w3.org/2001/XMLSchema" xmlns:xs="http://www.w3.org/2001/XMLSchema" xmlns:p="http://schemas.microsoft.com/office/2006/metadata/properties" xmlns:ns2="c25db688-7725-4690-b3a8-480c517bb020" xmlns:ns3="3888eed3-621b-4d3b-904c-e3413ee02c65" targetNamespace="http://schemas.microsoft.com/office/2006/metadata/properties" ma:root="true" ma:fieldsID="91658d7d0caf476d87af298dddf2bf90" ns2:_="" ns3:_="">
    <xsd:import namespace="c25db688-7725-4690-b3a8-480c517bb020"/>
    <xsd:import namespace="3888eed3-621b-4d3b-904c-e3413ee02c6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db688-7725-4690-b3a8-480c517bb0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30cfa8c-fda9-44ff-8cb8-ddde6e729cc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8eed3-621b-4d3b-904c-e3413ee02c6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4ca1a6-0772-4f74-8d41-60a2502cc29b}" ma:internalName="TaxCatchAll" ma:showField="CatchAllData" ma:web="3888eed3-621b-4d3b-904c-e3413ee02c6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07993-822E-4BB3-AC43-ECD2FF6B5D71}">
  <ds:schemaRefs>
    <ds:schemaRef ds:uri="http://schemas.openxmlformats.org/officeDocument/2006/bibliography"/>
  </ds:schemaRefs>
</ds:datastoreItem>
</file>

<file path=customXml/itemProps2.xml><?xml version="1.0" encoding="utf-8"?>
<ds:datastoreItem xmlns:ds="http://schemas.openxmlformats.org/officeDocument/2006/customXml" ds:itemID="{1AE87CD7-8A72-448C-8067-4B448A83ED88}">
  <ds:schemaRefs>
    <ds:schemaRef ds:uri="http://schemas.microsoft.com/office/2006/metadata/properties"/>
    <ds:schemaRef ds:uri="http://schemas.microsoft.com/office/infopath/2007/PartnerControls"/>
    <ds:schemaRef ds:uri="3888eed3-621b-4d3b-904c-e3413ee02c65"/>
    <ds:schemaRef ds:uri="c25db688-7725-4690-b3a8-480c517bb020"/>
  </ds:schemaRefs>
</ds:datastoreItem>
</file>

<file path=customXml/itemProps3.xml><?xml version="1.0" encoding="utf-8"?>
<ds:datastoreItem xmlns:ds="http://schemas.openxmlformats.org/officeDocument/2006/customXml" ds:itemID="{1CAD2671-5B7B-40AA-9DA9-C08311C2CD07}">
  <ds:schemaRefs>
    <ds:schemaRef ds:uri="http://schemas.microsoft.com/sharepoint/v3/contenttype/forms"/>
  </ds:schemaRefs>
</ds:datastoreItem>
</file>

<file path=customXml/itemProps4.xml><?xml version="1.0" encoding="utf-8"?>
<ds:datastoreItem xmlns:ds="http://schemas.openxmlformats.org/officeDocument/2006/customXml" ds:itemID="{2B8B67EE-C253-4CF4-89BA-E1C49C469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db688-7725-4690-b3a8-480c517bb020"/>
    <ds:schemaRef ds:uri="3888eed3-621b-4d3b-904c-e3413ee02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b5cc1e7-c297-4baa-ba8a-cdaf38d13815}" enabled="0" method="" siteId="{ab5cc1e7-c297-4baa-ba8a-cdaf38d13815}" removed="1"/>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6247</Words>
  <Characters>31087</Characters>
  <Application>Microsoft Office Word</Application>
  <DocSecurity>0</DocSecurity>
  <Lines>2479</Lines>
  <Paragraphs>1631</Paragraphs>
  <ScaleCrop>false</ScaleCrop>
  <HeadingPairs>
    <vt:vector size="2" baseType="variant">
      <vt:variant>
        <vt:lpstr>Title</vt:lpstr>
      </vt:variant>
      <vt:variant>
        <vt:i4>1</vt:i4>
      </vt:variant>
    </vt:vector>
  </HeadingPairs>
  <TitlesOfParts>
    <vt:vector size="1" baseType="lpstr">
      <vt:lpstr>Five-Year Housing Land Supply Position Statement 2024</vt:lpstr>
    </vt:vector>
  </TitlesOfParts>
  <Company>220ICT.NET</Company>
  <LinksUpToDate>false</LinksUpToDate>
  <CharactersWithSpaces>36038</CharactersWithSpaces>
  <SharedDoc>false</SharedDoc>
  <HLinks>
    <vt:vector size="282" baseType="variant">
      <vt:variant>
        <vt:i4>7012360</vt:i4>
      </vt:variant>
      <vt:variant>
        <vt:i4>318</vt:i4>
      </vt:variant>
      <vt:variant>
        <vt:i4>0</vt:i4>
      </vt:variant>
      <vt:variant>
        <vt:i4>5</vt:i4>
      </vt:variant>
      <vt:variant>
        <vt:lpwstr>https://lichfields.uk/media/w3wjmws0/start-to-finish-3_how-quickly-do-large-scale-housing-sites-deliver.pdf</vt:lpwstr>
      </vt:variant>
      <vt:variant>
        <vt:lpwstr>contents</vt:lpwstr>
      </vt:variant>
      <vt:variant>
        <vt:i4>5636167</vt:i4>
      </vt:variant>
      <vt:variant>
        <vt:i4>312</vt:i4>
      </vt:variant>
      <vt:variant>
        <vt:i4>0</vt:i4>
      </vt:variant>
      <vt:variant>
        <vt:i4>5</vt:i4>
      </vt:variant>
      <vt:variant>
        <vt:lpwstr>https://www.ons.gov.uk/peoplepopulationandcommunity/housing/datasets/ratioofhousepricetoworkplacebasedearningslowerquartileandmedian</vt:lpwstr>
      </vt:variant>
      <vt:variant>
        <vt:lpwstr/>
      </vt:variant>
      <vt:variant>
        <vt:i4>2490447</vt:i4>
      </vt:variant>
      <vt:variant>
        <vt:i4>309</vt:i4>
      </vt:variant>
      <vt:variant>
        <vt:i4>0</vt:i4>
      </vt:variant>
      <vt:variant>
        <vt:i4>5</vt:i4>
      </vt:variant>
      <vt:variant>
        <vt:lpwstr>https://assets.publishing.service.gov.uk/media/664da823f34f9b5a56adcbf2/LT_125.ods</vt:lpwstr>
      </vt:variant>
      <vt:variant>
        <vt:lpwstr/>
      </vt:variant>
      <vt:variant>
        <vt:i4>2621503</vt:i4>
      </vt:variant>
      <vt:variant>
        <vt:i4>306</vt:i4>
      </vt:variant>
      <vt:variant>
        <vt:i4>0</vt:i4>
      </vt:variant>
      <vt:variant>
        <vt:i4>5</vt:i4>
      </vt:variant>
      <vt:variant>
        <vt:lpwstr>https://www.gov.uk/guidance/housing-and-economic-development-needs-assessments</vt:lpwstr>
      </vt:variant>
      <vt:variant>
        <vt:lpwstr/>
      </vt:variant>
      <vt:variant>
        <vt:i4>7012360</vt:i4>
      </vt:variant>
      <vt:variant>
        <vt:i4>285</vt:i4>
      </vt:variant>
      <vt:variant>
        <vt:i4>0</vt:i4>
      </vt:variant>
      <vt:variant>
        <vt:i4>5</vt:i4>
      </vt:variant>
      <vt:variant>
        <vt:lpwstr>https://lichfields.uk/media/w3wjmws0/start-to-finish-3_how-quickly-do-large-scale-housing-sites-deliver.pdf</vt:lpwstr>
      </vt:variant>
      <vt:variant>
        <vt:lpwstr>contents</vt:lpwstr>
      </vt:variant>
      <vt:variant>
        <vt:i4>7012458</vt:i4>
      </vt:variant>
      <vt:variant>
        <vt:i4>252</vt:i4>
      </vt:variant>
      <vt:variant>
        <vt:i4>0</vt:i4>
      </vt:variant>
      <vt:variant>
        <vt:i4>5</vt:i4>
      </vt:variant>
      <vt:variant>
        <vt:lpwstr>https://www.gov.uk/guidance/housing-supply-and-delivery</vt:lpwstr>
      </vt:variant>
      <vt:variant>
        <vt:lpwstr/>
      </vt:variant>
      <vt:variant>
        <vt:i4>5636179</vt:i4>
      </vt:variant>
      <vt:variant>
        <vt:i4>243</vt:i4>
      </vt:variant>
      <vt:variant>
        <vt:i4>0</vt:i4>
      </vt:variant>
      <vt:variant>
        <vt:i4>5</vt:i4>
      </vt:variant>
      <vt:variant>
        <vt:lpwstr>https://www.gov.uk/government/publications/housing-delivery-test-2023-measurement</vt:lpwstr>
      </vt:variant>
      <vt:variant>
        <vt:lpwstr/>
      </vt:variant>
      <vt:variant>
        <vt:i4>7012458</vt:i4>
      </vt:variant>
      <vt:variant>
        <vt:i4>237</vt:i4>
      </vt:variant>
      <vt:variant>
        <vt:i4>0</vt:i4>
      </vt:variant>
      <vt:variant>
        <vt:i4>5</vt:i4>
      </vt:variant>
      <vt:variant>
        <vt:lpwstr>https://www.gov.uk/guidance/housing-supply-and-delivery</vt:lpwstr>
      </vt:variant>
      <vt:variant>
        <vt:lpwstr/>
      </vt:variant>
      <vt:variant>
        <vt:i4>2621503</vt:i4>
      </vt:variant>
      <vt:variant>
        <vt:i4>231</vt:i4>
      </vt:variant>
      <vt:variant>
        <vt:i4>0</vt:i4>
      </vt:variant>
      <vt:variant>
        <vt:i4>5</vt:i4>
      </vt:variant>
      <vt:variant>
        <vt:lpwstr>https://www.gov.uk/guidance/housing-and-economic-development-needs-assessments</vt:lpwstr>
      </vt:variant>
      <vt:variant>
        <vt:lpwstr/>
      </vt:variant>
      <vt:variant>
        <vt:i4>3735612</vt:i4>
      </vt:variant>
      <vt:variant>
        <vt:i4>228</vt:i4>
      </vt:variant>
      <vt:variant>
        <vt:i4>0</vt:i4>
      </vt:variant>
      <vt:variant>
        <vt:i4>5</vt:i4>
      </vt:variant>
      <vt:variant>
        <vt:lpwstr>https://www.jointcorestrategy.org/</vt:lpwstr>
      </vt:variant>
      <vt:variant>
        <vt:lpwstr/>
      </vt:variant>
      <vt:variant>
        <vt:i4>6684720</vt:i4>
      </vt:variant>
      <vt:variant>
        <vt:i4>222</vt:i4>
      </vt:variant>
      <vt:variant>
        <vt:i4>0</vt:i4>
      </vt:variant>
      <vt:variant>
        <vt:i4>5</vt:i4>
      </vt:variant>
      <vt:variant>
        <vt:lpwstr>https://assets.publishing.service.gov.uk/media/675abd214cbda57cacd3476e/NPPF-December-2024.pdf</vt:lpwstr>
      </vt:variant>
      <vt:variant>
        <vt:lpwstr/>
      </vt:variant>
      <vt:variant>
        <vt:i4>1310768</vt:i4>
      </vt:variant>
      <vt:variant>
        <vt:i4>215</vt:i4>
      </vt:variant>
      <vt:variant>
        <vt:i4>0</vt:i4>
      </vt:variant>
      <vt:variant>
        <vt:i4>5</vt:i4>
      </vt:variant>
      <vt:variant>
        <vt:lpwstr/>
      </vt:variant>
      <vt:variant>
        <vt:lpwstr>_Toc178691038</vt:lpwstr>
      </vt:variant>
      <vt:variant>
        <vt:i4>1310768</vt:i4>
      </vt:variant>
      <vt:variant>
        <vt:i4>209</vt:i4>
      </vt:variant>
      <vt:variant>
        <vt:i4>0</vt:i4>
      </vt:variant>
      <vt:variant>
        <vt:i4>5</vt:i4>
      </vt:variant>
      <vt:variant>
        <vt:lpwstr/>
      </vt:variant>
      <vt:variant>
        <vt:lpwstr>_Toc178691037</vt:lpwstr>
      </vt:variant>
      <vt:variant>
        <vt:i4>1310768</vt:i4>
      </vt:variant>
      <vt:variant>
        <vt:i4>203</vt:i4>
      </vt:variant>
      <vt:variant>
        <vt:i4>0</vt:i4>
      </vt:variant>
      <vt:variant>
        <vt:i4>5</vt:i4>
      </vt:variant>
      <vt:variant>
        <vt:lpwstr/>
      </vt:variant>
      <vt:variant>
        <vt:lpwstr>_Toc178691036</vt:lpwstr>
      </vt:variant>
      <vt:variant>
        <vt:i4>1310768</vt:i4>
      </vt:variant>
      <vt:variant>
        <vt:i4>197</vt:i4>
      </vt:variant>
      <vt:variant>
        <vt:i4>0</vt:i4>
      </vt:variant>
      <vt:variant>
        <vt:i4>5</vt:i4>
      </vt:variant>
      <vt:variant>
        <vt:lpwstr/>
      </vt:variant>
      <vt:variant>
        <vt:lpwstr>_Toc178691035</vt:lpwstr>
      </vt:variant>
      <vt:variant>
        <vt:i4>1310768</vt:i4>
      </vt:variant>
      <vt:variant>
        <vt:i4>191</vt:i4>
      </vt:variant>
      <vt:variant>
        <vt:i4>0</vt:i4>
      </vt:variant>
      <vt:variant>
        <vt:i4>5</vt:i4>
      </vt:variant>
      <vt:variant>
        <vt:lpwstr/>
      </vt:variant>
      <vt:variant>
        <vt:lpwstr>_Toc178691034</vt:lpwstr>
      </vt:variant>
      <vt:variant>
        <vt:i4>1310768</vt:i4>
      </vt:variant>
      <vt:variant>
        <vt:i4>185</vt:i4>
      </vt:variant>
      <vt:variant>
        <vt:i4>0</vt:i4>
      </vt:variant>
      <vt:variant>
        <vt:i4>5</vt:i4>
      </vt:variant>
      <vt:variant>
        <vt:lpwstr/>
      </vt:variant>
      <vt:variant>
        <vt:lpwstr>_Toc178691033</vt:lpwstr>
      </vt:variant>
      <vt:variant>
        <vt:i4>1310768</vt:i4>
      </vt:variant>
      <vt:variant>
        <vt:i4>179</vt:i4>
      </vt:variant>
      <vt:variant>
        <vt:i4>0</vt:i4>
      </vt:variant>
      <vt:variant>
        <vt:i4>5</vt:i4>
      </vt:variant>
      <vt:variant>
        <vt:lpwstr/>
      </vt:variant>
      <vt:variant>
        <vt:lpwstr>_Toc178691032</vt:lpwstr>
      </vt:variant>
      <vt:variant>
        <vt:i4>1310768</vt:i4>
      </vt:variant>
      <vt:variant>
        <vt:i4>173</vt:i4>
      </vt:variant>
      <vt:variant>
        <vt:i4>0</vt:i4>
      </vt:variant>
      <vt:variant>
        <vt:i4>5</vt:i4>
      </vt:variant>
      <vt:variant>
        <vt:lpwstr/>
      </vt:variant>
      <vt:variant>
        <vt:lpwstr>_Toc178691031</vt:lpwstr>
      </vt:variant>
      <vt:variant>
        <vt:i4>1310768</vt:i4>
      </vt:variant>
      <vt:variant>
        <vt:i4>167</vt:i4>
      </vt:variant>
      <vt:variant>
        <vt:i4>0</vt:i4>
      </vt:variant>
      <vt:variant>
        <vt:i4>5</vt:i4>
      </vt:variant>
      <vt:variant>
        <vt:lpwstr/>
      </vt:variant>
      <vt:variant>
        <vt:lpwstr>_Toc178691030</vt:lpwstr>
      </vt:variant>
      <vt:variant>
        <vt:i4>1835070</vt:i4>
      </vt:variant>
      <vt:variant>
        <vt:i4>158</vt:i4>
      </vt:variant>
      <vt:variant>
        <vt:i4>0</vt:i4>
      </vt:variant>
      <vt:variant>
        <vt:i4>5</vt:i4>
      </vt:variant>
      <vt:variant>
        <vt:lpwstr/>
      </vt:variant>
      <vt:variant>
        <vt:lpwstr>_Toc178843372</vt:lpwstr>
      </vt:variant>
      <vt:variant>
        <vt:i4>1835070</vt:i4>
      </vt:variant>
      <vt:variant>
        <vt:i4>152</vt:i4>
      </vt:variant>
      <vt:variant>
        <vt:i4>0</vt:i4>
      </vt:variant>
      <vt:variant>
        <vt:i4>5</vt:i4>
      </vt:variant>
      <vt:variant>
        <vt:lpwstr/>
      </vt:variant>
      <vt:variant>
        <vt:lpwstr>_Toc178843371</vt:lpwstr>
      </vt:variant>
      <vt:variant>
        <vt:i4>1835070</vt:i4>
      </vt:variant>
      <vt:variant>
        <vt:i4>146</vt:i4>
      </vt:variant>
      <vt:variant>
        <vt:i4>0</vt:i4>
      </vt:variant>
      <vt:variant>
        <vt:i4>5</vt:i4>
      </vt:variant>
      <vt:variant>
        <vt:lpwstr/>
      </vt:variant>
      <vt:variant>
        <vt:lpwstr>_Toc178843370</vt:lpwstr>
      </vt:variant>
      <vt:variant>
        <vt:i4>1900606</vt:i4>
      </vt:variant>
      <vt:variant>
        <vt:i4>140</vt:i4>
      </vt:variant>
      <vt:variant>
        <vt:i4>0</vt:i4>
      </vt:variant>
      <vt:variant>
        <vt:i4>5</vt:i4>
      </vt:variant>
      <vt:variant>
        <vt:lpwstr/>
      </vt:variant>
      <vt:variant>
        <vt:lpwstr>_Toc178843369</vt:lpwstr>
      </vt:variant>
      <vt:variant>
        <vt:i4>1900606</vt:i4>
      </vt:variant>
      <vt:variant>
        <vt:i4>134</vt:i4>
      </vt:variant>
      <vt:variant>
        <vt:i4>0</vt:i4>
      </vt:variant>
      <vt:variant>
        <vt:i4>5</vt:i4>
      </vt:variant>
      <vt:variant>
        <vt:lpwstr/>
      </vt:variant>
      <vt:variant>
        <vt:lpwstr>_Toc178843368</vt:lpwstr>
      </vt:variant>
      <vt:variant>
        <vt:i4>1900606</vt:i4>
      </vt:variant>
      <vt:variant>
        <vt:i4>128</vt:i4>
      </vt:variant>
      <vt:variant>
        <vt:i4>0</vt:i4>
      </vt:variant>
      <vt:variant>
        <vt:i4>5</vt:i4>
      </vt:variant>
      <vt:variant>
        <vt:lpwstr/>
      </vt:variant>
      <vt:variant>
        <vt:lpwstr>_Toc178843367</vt:lpwstr>
      </vt:variant>
      <vt:variant>
        <vt:i4>1900606</vt:i4>
      </vt:variant>
      <vt:variant>
        <vt:i4>122</vt:i4>
      </vt:variant>
      <vt:variant>
        <vt:i4>0</vt:i4>
      </vt:variant>
      <vt:variant>
        <vt:i4>5</vt:i4>
      </vt:variant>
      <vt:variant>
        <vt:lpwstr/>
      </vt:variant>
      <vt:variant>
        <vt:lpwstr>_Toc178843366</vt:lpwstr>
      </vt:variant>
      <vt:variant>
        <vt:i4>1900606</vt:i4>
      </vt:variant>
      <vt:variant>
        <vt:i4>116</vt:i4>
      </vt:variant>
      <vt:variant>
        <vt:i4>0</vt:i4>
      </vt:variant>
      <vt:variant>
        <vt:i4>5</vt:i4>
      </vt:variant>
      <vt:variant>
        <vt:lpwstr/>
      </vt:variant>
      <vt:variant>
        <vt:lpwstr>_Toc178843365</vt:lpwstr>
      </vt:variant>
      <vt:variant>
        <vt:i4>1900606</vt:i4>
      </vt:variant>
      <vt:variant>
        <vt:i4>110</vt:i4>
      </vt:variant>
      <vt:variant>
        <vt:i4>0</vt:i4>
      </vt:variant>
      <vt:variant>
        <vt:i4>5</vt:i4>
      </vt:variant>
      <vt:variant>
        <vt:lpwstr/>
      </vt:variant>
      <vt:variant>
        <vt:lpwstr>_Toc178843364</vt:lpwstr>
      </vt:variant>
      <vt:variant>
        <vt:i4>1900606</vt:i4>
      </vt:variant>
      <vt:variant>
        <vt:i4>104</vt:i4>
      </vt:variant>
      <vt:variant>
        <vt:i4>0</vt:i4>
      </vt:variant>
      <vt:variant>
        <vt:i4>5</vt:i4>
      </vt:variant>
      <vt:variant>
        <vt:lpwstr/>
      </vt:variant>
      <vt:variant>
        <vt:lpwstr>_Toc178843363</vt:lpwstr>
      </vt:variant>
      <vt:variant>
        <vt:i4>1900606</vt:i4>
      </vt:variant>
      <vt:variant>
        <vt:i4>98</vt:i4>
      </vt:variant>
      <vt:variant>
        <vt:i4>0</vt:i4>
      </vt:variant>
      <vt:variant>
        <vt:i4>5</vt:i4>
      </vt:variant>
      <vt:variant>
        <vt:lpwstr/>
      </vt:variant>
      <vt:variant>
        <vt:lpwstr>_Toc178843362</vt:lpwstr>
      </vt:variant>
      <vt:variant>
        <vt:i4>1900606</vt:i4>
      </vt:variant>
      <vt:variant>
        <vt:i4>92</vt:i4>
      </vt:variant>
      <vt:variant>
        <vt:i4>0</vt:i4>
      </vt:variant>
      <vt:variant>
        <vt:i4>5</vt:i4>
      </vt:variant>
      <vt:variant>
        <vt:lpwstr/>
      </vt:variant>
      <vt:variant>
        <vt:lpwstr>_Toc178843361</vt:lpwstr>
      </vt:variant>
      <vt:variant>
        <vt:i4>1900606</vt:i4>
      </vt:variant>
      <vt:variant>
        <vt:i4>86</vt:i4>
      </vt:variant>
      <vt:variant>
        <vt:i4>0</vt:i4>
      </vt:variant>
      <vt:variant>
        <vt:i4>5</vt:i4>
      </vt:variant>
      <vt:variant>
        <vt:lpwstr/>
      </vt:variant>
      <vt:variant>
        <vt:lpwstr>_Toc178843360</vt:lpwstr>
      </vt:variant>
      <vt:variant>
        <vt:i4>1966142</vt:i4>
      </vt:variant>
      <vt:variant>
        <vt:i4>80</vt:i4>
      </vt:variant>
      <vt:variant>
        <vt:i4>0</vt:i4>
      </vt:variant>
      <vt:variant>
        <vt:i4>5</vt:i4>
      </vt:variant>
      <vt:variant>
        <vt:lpwstr/>
      </vt:variant>
      <vt:variant>
        <vt:lpwstr>_Toc178843359</vt:lpwstr>
      </vt:variant>
      <vt:variant>
        <vt:i4>1966142</vt:i4>
      </vt:variant>
      <vt:variant>
        <vt:i4>74</vt:i4>
      </vt:variant>
      <vt:variant>
        <vt:i4>0</vt:i4>
      </vt:variant>
      <vt:variant>
        <vt:i4>5</vt:i4>
      </vt:variant>
      <vt:variant>
        <vt:lpwstr/>
      </vt:variant>
      <vt:variant>
        <vt:lpwstr>_Toc178843358</vt:lpwstr>
      </vt:variant>
      <vt:variant>
        <vt:i4>1966142</vt:i4>
      </vt:variant>
      <vt:variant>
        <vt:i4>68</vt:i4>
      </vt:variant>
      <vt:variant>
        <vt:i4>0</vt:i4>
      </vt:variant>
      <vt:variant>
        <vt:i4>5</vt:i4>
      </vt:variant>
      <vt:variant>
        <vt:lpwstr/>
      </vt:variant>
      <vt:variant>
        <vt:lpwstr>_Toc178843357</vt:lpwstr>
      </vt:variant>
      <vt:variant>
        <vt:i4>1966142</vt:i4>
      </vt:variant>
      <vt:variant>
        <vt:i4>62</vt:i4>
      </vt:variant>
      <vt:variant>
        <vt:i4>0</vt:i4>
      </vt:variant>
      <vt:variant>
        <vt:i4>5</vt:i4>
      </vt:variant>
      <vt:variant>
        <vt:lpwstr/>
      </vt:variant>
      <vt:variant>
        <vt:lpwstr>_Toc178843356</vt:lpwstr>
      </vt:variant>
      <vt:variant>
        <vt:i4>1966142</vt:i4>
      </vt:variant>
      <vt:variant>
        <vt:i4>56</vt:i4>
      </vt:variant>
      <vt:variant>
        <vt:i4>0</vt:i4>
      </vt:variant>
      <vt:variant>
        <vt:i4>5</vt:i4>
      </vt:variant>
      <vt:variant>
        <vt:lpwstr/>
      </vt:variant>
      <vt:variant>
        <vt:lpwstr>_Toc178843355</vt:lpwstr>
      </vt:variant>
      <vt:variant>
        <vt:i4>1966142</vt:i4>
      </vt:variant>
      <vt:variant>
        <vt:i4>50</vt:i4>
      </vt:variant>
      <vt:variant>
        <vt:i4>0</vt:i4>
      </vt:variant>
      <vt:variant>
        <vt:i4>5</vt:i4>
      </vt:variant>
      <vt:variant>
        <vt:lpwstr/>
      </vt:variant>
      <vt:variant>
        <vt:lpwstr>_Toc178843354</vt:lpwstr>
      </vt:variant>
      <vt:variant>
        <vt:i4>1966142</vt:i4>
      </vt:variant>
      <vt:variant>
        <vt:i4>44</vt:i4>
      </vt:variant>
      <vt:variant>
        <vt:i4>0</vt:i4>
      </vt:variant>
      <vt:variant>
        <vt:i4>5</vt:i4>
      </vt:variant>
      <vt:variant>
        <vt:lpwstr/>
      </vt:variant>
      <vt:variant>
        <vt:lpwstr>_Toc178843353</vt:lpwstr>
      </vt:variant>
      <vt:variant>
        <vt:i4>1966142</vt:i4>
      </vt:variant>
      <vt:variant>
        <vt:i4>38</vt:i4>
      </vt:variant>
      <vt:variant>
        <vt:i4>0</vt:i4>
      </vt:variant>
      <vt:variant>
        <vt:i4>5</vt:i4>
      </vt:variant>
      <vt:variant>
        <vt:lpwstr/>
      </vt:variant>
      <vt:variant>
        <vt:lpwstr>_Toc178843352</vt:lpwstr>
      </vt:variant>
      <vt:variant>
        <vt:i4>1966142</vt:i4>
      </vt:variant>
      <vt:variant>
        <vt:i4>32</vt:i4>
      </vt:variant>
      <vt:variant>
        <vt:i4>0</vt:i4>
      </vt:variant>
      <vt:variant>
        <vt:i4>5</vt:i4>
      </vt:variant>
      <vt:variant>
        <vt:lpwstr/>
      </vt:variant>
      <vt:variant>
        <vt:lpwstr>_Toc178843351</vt:lpwstr>
      </vt:variant>
      <vt:variant>
        <vt:i4>1966142</vt:i4>
      </vt:variant>
      <vt:variant>
        <vt:i4>26</vt:i4>
      </vt:variant>
      <vt:variant>
        <vt:i4>0</vt:i4>
      </vt:variant>
      <vt:variant>
        <vt:i4>5</vt:i4>
      </vt:variant>
      <vt:variant>
        <vt:lpwstr/>
      </vt:variant>
      <vt:variant>
        <vt:lpwstr>_Toc178843350</vt:lpwstr>
      </vt:variant>
      <vt:variant>
        <vt:i4>2031678</vt:i4>
      </vt:variant>
      <vt:variant>
        <vt:i4>20</vt:i4>
      </vt:variant>
      <vt:variant>
        <vt:i4>0</vt:i4>
      </vt:variant>
      <vt:variant>
        <vt:i4>5</vt:i4>
      </vt:variant>
      <vt:variant>
        <vt:lpwstr/>
      </vt:variant>
      <vt:variant>
        <vt:lpwstr>_Toc178843349</vt:lpwstr>
      </vt:variant>
      <vt:variant>
        <vt:i4>2031678</vt:i4>
      </vt:variant>
      <vt:variant>
        <vt:i4>14</vt:i4>
      </vt:variant>
      <vt:variant>
        <vt:i4>0</vt:i4>
      </vt:variant>
      <vt:variant>
        <vt:i4>5</vt:i4>
      </vt:variant>
      <vt:variant>
        <vt:lpwstr/>
      </vt:variant>
      <vt:variant>
        <vt:lpwstr>_Toc178843348</vt:lpwstr>
      </vt:variant>
      <vt:variant>
        <vt:i4>2031678</vt:i4>
      </vt:variant>
      <vt:variant>
        <vt:i4>8</vt:i4>
      </vt:variant>
      <vt:variant>
        <vt:i4>0</vt:i4>
      </vt:variant>
      <vt:variant>
        <vt:i4>5</vt:i4>
      </vt:variant>
      <vt:variant>
        <vt:lpwstr/>
      </vt:variant>
      <vt:variant>
        <vt:lpwstr>_Toc178843347</vt:lpwstr>
      </vt:variant>
      <vt:variant>
        <vt:i4>2031678</vt:i4>
      </vt:variant>
      <vt:variant>
        <vt:i4>2</vt:i4>
      </vt:variant>
      <vt:variant>
        <vt:i4>0</vt:i4>
      </vt:variant>
      <vt:variant>
        <vt:i4>5</vt:i4>
      </vt:variant>
      <vt:variant>
        <vt:lpwstr/>
      </vt:variant>
      <vt:variant>
        <vt:lpwstr>_Toc178843346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Five-Year Housing Land Supply Position Statement 2024</dc:title>
  <dc:subject/>
  <dc:creator>Daniel O'Neill</dc:creator>
  <cp:keywords/>
  <dc:description/>
  <cp:lastModifiedBy>David Ingleby</cp:lastModifiedBy>
  <cp:revision>7</cp:revision>
  <cp:lastPrinted>2025-11-28T11:21:00Z</cp:lastPrinted>
  <dcterms:created xsi:type="dcterms:W3CDTF">2025-11-28T11:25:00Z</dcterms:created>
  <dcterms:modified xsi:type="dcterms:W3CDTF">2025-11-28T11:39:00Z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2021-07-08T00:00:00Z</vt:filetime>
  </property>
  <property fmtid="{D5CDD505-2E9C-101B-9397-08002B2CF9AE}" pid="3" name="Creator">
    <vt:lpwstr>Acrobat PDFMaker 21 for Word</vt:lpwstr>
  </property>
  <property fmtid="{D5CDD505-2E9C-101B-9397-08002B2CF9AE}" pid="4" name="LastSaved">
    <vt:filetime>2022-11-01T00:00:00Z</vt:filetime>
  </property>
  <property fmtid="{D5CDD505-2E9C-101B-9397-08002B2CF9AE}" pid="5" name="ContentTypeId">
    <vt:lpwstr>0x010100E8407B675B920B4D9E03A22DE293F011</vt:lpwstr>
  </property>
  <property fmtid="{D5CDD505-2E9C-101B-9397-08002B2CF9AE}" pid="6" name="MediaServiceImageTags">
    <vt:lpwstr/>
  </property>
</Properties>
</file>