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6253A" w14:textId="5E07C008" w:rsidR="00FC782D" w:rsidRDefault="00FC782D" w:rsidP="00FC782D">
      <w:pPr>
        <w:ind w:left="-1418" w:right="-1039"/>
      </w:pPr>
    </w:p>
    <w:tbl>
      <w:tblPr>
        <w:tblW w:w="11179" w:type="dxa"/>
        <w:jc w:val="center"/>
        <w:tblLook w:val="04A0" w:firstRow="1" w:lastRow="0" w:firstColumn="1" w:lastColumn="0" w:noHBand="0" w:noVBand="1"/>
      </w:tblPr>
      <w:tblGrid>
        <w:gridCol w:w="4296"/>
        <w:gridCol w:w="3213"/>
        <w:gridCol w:w="3670"/>
      </w:tblGrid>
      <w:tr w:rsidR="004C1F2C" w:rsidRPr="004C1F2C" w14:paraId="2F625266" w14:textId="77777777" w:rsidTr="004C1F2C">
        <w:trPr>
          <w:jc w:val="center"/>
        </w:trPr>
        <w:tc>
          <w:tcPr>
            <w:tcW w:w="4296" w:type="dxa"/>
            <w:vMerge w:val="restart"/>
            <w:shd w:val="clear" w:color="auto" w:fill="auto"/>
          </w:tcPr>
          <w:p w14:paraId="73BF268A" w14:textId="096006B5" w:rsidR="00C20E2F" w:rsidRPr="004C1F2C" w:rsidRDefault="00C20E2F" w:rsidP="00D923D6">
            <w:pPr>
              <w:ind w:right="-1440"/>
              <w:rPr>
                <w:rFonts w:cs="Arial"/>
                <w:szCs w:val="22"/>
              </w:rPr>
            </w:pPr>
            <w:r w:rsidRPr="004C1F2C">
              <w:rPr>
                <w:rFonts w:cs="Arial"/>
                <w:noProof/>
                <w:sz w:val="22"/>
                <w:szCs w:val="22"/>
              </w:rPr>
              <w:drawing>
                <wp:inline distT="0" distB="0" distL="0" distR="0" wp14:anchorId="7BEA408C" wp14:editId="7F965EAE">
                  <wp:extent cx="2586410" cy="1033292"/>
                  <wp:effectExtent l="0" t="0" r="4445" b="0"/>
                  <wp:docPr id="1589357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1607" cy="1043358"/>
                          </a:xfrm>
                          <a:prstGeom prst="rect">
                            <a:avLst/>
                          </a:prstGeom>
                          <a:noFill/>
                          <a:ln>
                            <a:noFill/>
                          </a:ln>
                        </pic:spPr>
                      </pic:pic>
                    </a:graphicData>
                  </a:graphic>
                </wp:inline>
              </w:drawing>
            </w:r>
          </w:p>
        </w:tc>
        <w:tc>
          <w:tcPr>
            <w:tcW w:w="3213" w:type="dxa"/>
            <w:shd w:val="clear" w:color="auto" w:fill="auto"/>
          </w:tcPr>
          <w:p w14:paraId="3A0EE154" w14:textId="77777777" w:rsidR="00C20E2F" w:rsidRPr="00C20E2F" w:rsidRDefault="00C20E2F" w:rsidP="00C20E2F">
            <w:pPr>
              <w:ind w:right="-1440"/>
              <w:rPr>
                <w:rFonts w:cs="Arial"/>
                <w:szCs w:val="22"/>
                <w:shd w:val="clear" w:color="auto" w:fill="FFFFFF"/>
              </w:rPr>
            </w:pPr>
            <w:r w:rsidRPr="00C20E2F">
              <w:rPr>
                <w:rFonts w:cs="Arial"/>
                <w:sz w:val="22"/>
                <w:szCs w:val="22"/>
                <w:shd w:val="clear" w:color="auto" w:fill="FFFFFF"/>
              </w:rPr>
              <w:t xml:space="preserve">Gloucester City Council </w:t>
            </w:r>
          </w:p>
          <w:p w14:paraId="073681BC" w14:textId="4023D77E" w:rsidR="00C20E2F" w:rsidRPr="004C1F2C" w:rsidRDefault="00C20E2F" w:rsidP="00D923D6">
            <w:pPr>
              <w:ind w:right="-1440"/>
              <w:rPr>
                <w:rFonts w:cs="Arial"/>
                <w:szCs w:val="22"/>
              </w:rPr>
            </w:pPr>
          </w:p>
        </w:tc>
        <w:tc>
          <w:tcPr>
            <w:tcW w:w="3670" w:type="dxa"/>
            <w:shd w:val="clear" w:color="auto" w:fill="auto"/>
          </w:tcPr>
          <w:p w14:paraId="19D1F8F3" w14:textId="77777777" w:rsidR="00C20E2F" w:rsidRPr="001B362B" w:rsidRDefault="00C20E2F" w:rsidP="001B362B">
            <w:pPr>
              <w:ind w:left="-378" w:right="-1440" w:firstLine="378"/>
              <w:rPr>
                <w:rFonts w:cs="Arial"/>
                <w:szCs w:val="22"/>
              </w:rPr>
            </w:pPr>
            <w:r w:rsidRPr="001B362B">
              <w:rPr>
                <w:rFonts w:cs="Arial"/>
                <w:sz w:val="22"/>
                <w:szCs w:val="22"/>
              </w:rPr>
              <w:t>Uniform Notice Ref: 23/00005/A2</w:t>
            </w:r>
          </w:p>
          <w:p w14:paraId="511BB7AD" w14:textId="1FA1B60E" w:rsidR="00C20E2F" w:rsidRPr="004C1F2C" w:rsidRDefault="00C20E2F" w:rsidP="00D923D6">
            <w:pPr>
              <w:ind w:left="-378" w:right="-1440" w:firstLine="378"/>
              <w:rPr>
                <w:rFonts w:cs="Arial"/>
                <w:szCs w:val="22"/>
              </w:rPr>
            </w:pPr>
          </w:p>
        </w:tc>
      </w:tr>
      <w:tr w:rsidR="004C1F2C" w:rsidRPr="004C1F2C" w14:paraId="015EC108" w14:textId="77777777" w:rsidTr="004C1F2C">
        <w:trPr>
          <w:jc w:val="center"/>
        </w:trPr>
        <w:tc>
          <w:tcPr>
            <w:tcW w:w="4296" w:type="dxa"/>
            <w:vMerge/>
            <w:shd w:val="clear" w:color="auto" w:fill="auto"/>
          </w:tcPr>
          <w:p w14:paraId="69FFD1C4" w14:textId="77777777" w:rsidR="00C20E2F" w:rsidRPr="004C1F2C" w:rsidRDefault="00C20E2F" w:rsidP="00D923D6">
            <w:pPr>
              <w:ind w:right="-1440"/>
              <w:rPr>
                <w:rFonts w:cs="Arial"/>
                <w:szCs w:val="22"/>
              </w:rPr>
            </w:pPr>
          </w:p>
        </w:tc>
        <w:tc>
          <w:tcPr>
            <w:tcW w:w="3213" w:type="dxa"/>
            <w:shd w:val="clear" w:color="auto" w:fill="auto"/>
          </w:tcPr>
          <w:p w14:paraId="126CBD4A" w14:textId="77777777" w:rsidR="00C20E2F" w:rsidRPr="004C1F2C" w:rsidRDefault="00C20E2F" w:rsidP="00C20E2F">
            <w:pPr>
              <w:rPr>
                <w:rFonts w:cs="Arial"/>
                <w:szCs w:val="22"/>
                <w:shd w:val="clear" w:color="auto" w:fill="FFFFFF"/>
              </w:rPr>
            </w:pPr>
            <w:r w:rsidRPr="004C1F2C">
              <w:rPr>
                <w:rFonts w:cs="Arial"/>
                <w:sz w:val="22"/>
                <w:szCs w:val="22"/>
                <w:shd w:val="clear" w:color="auto" w:fill="FFFFFF"/>
              </w:rPr>
              <w:t>Eastgate Management Suite</w:t>
            </w:r>
          </w:p>
          <w:p w14:paraId="70A678E7" w14:textId="77777777" w:rsidR="00C20E2F" w:rsidRPr="004C1F2C" w:rsidRDefault="00C20E2F" w:rsidP="00C20E2F">
            <w:pPr>
              <w:rPr>
                <w:rFonts w:cs="Arial"/>
                <w:szCs w:val="22"/>
                <w:shd w:val="clear" w:color="auto" w:fill="FFFFFF"/>
              </w:rPr>
            </w:pPr>
            <w:r w:rsidRPr="004C1F2C">
              <w:rPr>
                <w:rFonts w:cs="Arial"/>
                <w:sz w:val="22"/>
                <w:szCs w:val="22"/>
                <w:shd w:val="clear" w:color="auto" w:fill="FFFFFF"/>
              </w:rPr>
              <w:t xml:space="preserve">Eastgate Street         </w:t>
            </w:r>
          </w:p>
          <w:p w14:paraId="3D791886" w14:textId="77777777" w:rsidR="00C20E2F" w:rsidRPr="004C1F2C" w:rsidRDefault="00C20E2F" w:rsidP="00C20E2F">
            <w:pPr>
              <w:rPr>
                <w:rFonts w:cs="Arial"/>
                <w:szCs w:val="22"/>
                <w:shd w:val="clear" w:color="auto" w:fill="FFFFFF"/>
              </w:rPr>
            </w:pPr>
            <w:r w:rsidRPr="004C1F2C">
              <w:rPr>
                <w:rFonts w:cs="Arial"/>
                <w:sz w:val="22"/>
                <w:szCs w:val="22"/>
                <w:shd w:val="clear" w:color="auto" w:fill="FFFFFF"/>
              </w:rPr>
              <w:t xml:space="preserve">Gloucester               </w:t>
            </w:r>
          </w:p>
          <w:p w14:paraId="4A444D14" w14:textId="0531AE88" w:rsidR="00C20E2F" w:rsidRPr="004C1F2C" w:rsidRDefault="00C20E2F" w:rsidP="00C20E2F">
            <w:pPr>
              <w:rPr>
                <w:rFonts w:cs="Arial"/>
                <w:szCs w:val="22"/>
              </w:rPr>
            </w:pPr>
            <w:r w:rsidRPr="004C1F2C">
              <w:rPr>
                <w:rFonts w:cs="Arial"/>
                <w:sz w:val="22"/>
                <w:szCs w:val="22"/>
                <w:shd w:val="clear" w:color="auto" w:fill="FFFFFF"/>
              </w:rPr>
              <w:t>GL1 1PA</w:t>
            </w:r>
          </w:p>
          <w:p w14:paraId="394DD4E1" w14:textId="77777777" w:rsidR="00C20E2F" w:rsidRPr="004C1F2C" w:rsidRDefault="00C20E2F" w:rsidP="00D923D6">
            <w:pPr>
              <w:ind w:right="-1440"/>
              <w:rPr>
                <w:rFonts w:cs="Arial"/>
                <w:szCs w:val="22"/>
              </w:rPr>
            </w:pPr>
          </w:p>
        </w:tc>
        <w:tc>
          <w:tcPr>
            <w:tcW w:w="3670" w:type="dxa"/>
            <w:shd w:val="clear" w:color="auto" w:fill="auto"/>
          </w:tcPr>
          <w:p w14:paraId="79EC82B1" w14:textId="27356BEF" w:rsidR="00C20E2F" w:rsidRPr="004C1F2C" w:rsidRDefault="00C20E2F" w:rsidP="00D923D6">
            <w:pPr>
              <w:ind w:right="-1440"/>
              <w:rPr>
                <w:rFonts w:cs="Arial"/>
                <w:szCs w:val="22"/>
              </w:rPr>
            </w:pPr>
            <w:r w:rsidRPr="004C1F2C">
              <w:rPr>
                <w:rFonts w:cs="Arial"/>
                <w:sz w:val="22"/>
                <w:szCs w:val="22"/>
              </w:rPr>
              <w:t>Environmental Permit 23/00006/A2</w:t>
            </w:r>
          </w:p>
        </w:tc>
      </w:tr>
    </w:tbl>
    <w:p w14:paraId="2B2005C8" w14:textId="77777777" w:rsidR="00FC782D" w:rsidRPr="004C1F2C" w:rsidRDefault="00FC782D" w:rsidP="00FC782D">
      <w:pPr>
        <w:ind w:left="-1418" w:right="-1440"/>
        <w:rPr>
          <w:rFonts w:cs="Arial"/>
          <w:sz w:val="22"/>
          <w:szCs w:val="22"/>
        </w:rPr>
      </w:pPr>
    </w:p>
    <w:tbl>
      <w:tblPr>
        <w:tblW w:w="11732"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420"/>
        <w:gridCol w:w="2694"/>
        <w:gridCol w:w="8618"/>
      </w:tblGrid>
      <w:tr w:rsidR="004C1F2C" w:rsidRPr="004C1F2C" w14:paraId="26E0687E" w14:textId="77777777" w:rsidTr="00492986">
        <w:tc>
          <w:tcPr>
            <w:tcW w:w="420" w:type="dxa"/>
            <w:tcBorders>
              <w:top w:val="nil"/>
              <w:left w:val="nil"/>
              <w:bottom w:val="nil"/>
              <w:right w:val="nil"/>
            </w:tcBorders>
            <w:shd w:val="clear" w:color="auto" w:fill="auto"/>
          </w:tcPr>
          <w:p w14:paraId="068A9424" w14:textId="77777777" w:rsidR="00FC782D" w:rsidRPr="004C1F2C" w:rsidRDefault="00FC782D" w:rsidP="00D923D6">
            <w:pPr>
              <w:ind w:right="-1440"/>
              <w:rPr>
                <w:rFonts w:cs="Arial"/>
                <w:szCs w:val="22"/>
              </w:rPr>
            </w:pPr>
          </w:p>
        </w:tc>
        <w:tc>
          <w:tcPr>
            <w:tcW w:w="2694" w:type="dxa"/>
            <w:tcBorders>
              <w:left w:val="nil"/>
              <w:bottom w:val="single" w:sz="4" w:space="0" w:color="auto"/>
              <w:right w:val="nil"/>
            </w:tcBorders>
            <w:shd w:val="clear" w:color="auto" w:fill="auto"/>
          </w:tcPr>
          <w:p w14:paraId="0D61D6D3" w14:textId="77777777" w:rsidR="00FC782D" w:rsidRPr="004C1F2C" w:rsidRDefault="00FC782D" w:rsidP="00D923D6">
            <w:pPr>
              <w:ind w:left="39" w:right="-1440"/>
              <w:rPr>
                <w:rFonts w:cs="Arial"/>
                <w:b/>
                <w:szCs w:val="22"/>
              </w:rPr>
            </w:pPr>
            <w:r w:rsidRPr="004C1F2C">
              <w:rPr>
                <w:rFonts w:cs="Arial"/>
                <w:b/>
                <w:sz w:val="22"/>
                <w:szCs w:val="22"/>
              </w:rPr>
              <w:t>Notice</w:t>
            </w:r>
          </w:p>
        </w:tc>
        <w:tc>
          <w:tcPr>
            <w:tcW w:w="8618" w:type="dxa"/>
            <w:tcBorders>
              <w:left w:val="nil"/>
              <w:bottom w:val="single" w:sz="4" w:space="0" w:color="auto"/>
              <w:right w:val="nil"/>
            </w:tcBorders>
            <w:shd w:val="clear" w:color="auto" w:fill="auto"/>
          </w:tcPr>
          <w:p w14:paraId="7D7B1F26" w14:textId="2E2CBE71" w:rsidR="00FC782D" w:rsidRPr="004C1F2C" w:rsidRDefault="00FC782D" w:rsidP="00D923D6">
            <w:pPr>
              <w:ind w:right="-1440"/>
              <w:rPr>
                <w:rFonts w:cs="Arial"/>
                <w:szCs w:val="22"/>
              </w:rPr>
            </w:pPr>
            <w:r w:rsidRPr="004C1F2C">
              <w:rPr>
                <w:rFonts w:cs="Arial"/>
                <w:sz w:val="22"/>
                <w:szCs w:val="22"/>
              </w:rPr>
              <w:t xml:space="preserve">The Environmental Permitting (England and Wales) Regulations 2016 – Regulation </w:t>
            </w:r>
            <w:r w:rsidR="00492986">
              <w:rPr>
                <w:rFonts w:cs="Arial"/>
                <w:sz w:val="22"/>
                <w:szCs w:val="22"/>
              </w:rPr>
              <w:t>36</w:t>
            </w:r>
          </w:p>
          <w:p w14:paraId="7766E9BA" w14:textId="77777777" w:rsidR="00FC782D" w:rsidRPr="004C1F2C" w:rsidRDefault="00FC782D" w:rsidP="00D923D6">
            <w:pPr>
              <w:ind w:right="-1440"/>
              <w:rPr>
                <w:rFonts w:cs="Arial"/>
                <w:szCs w:val="22"/>
              </w:rPr>
            </w:pPr>
          </w:p>
          <w:p w14:paraId="422182F9" w14:textId="77777777" w:rsidR="00FC782D" w:rsidRPr="004C1F2C" w:rsidRDefault="00FC782D" w:rsidP="00D923D6">
            <w:pPr>
              <w:ind w:right="-1440"/>
              <w:rPr>
                <w:rFonts w:cs="Arial"/>
                <w:szCs w:val="22"/>
              </w:rPr>
            </w:pPr>
            <w:r w:rsidRPr="004C1F2C">
              <w:rPr>
                <w:rFonts w:cs="Arial"/>
                <w:sz w:val="22"/>
                <w:szCs w:val="22"/>
              </w:rPr>
              <w:t>Enforcement Notice</w:t>
            </w:r>
          </w:p>
          <w:p w14:paraId="184EECD5" w14:textId="77777777" w:rsidR="00FC782D" w:rsidRPr="004C1F2C" w:rsidRDefault="00FC782D" w:rsidP="00D923D6">
            <w:pPr>
              <w:ind w:right="-30"/>
              <w:rPr>
                <w:rFonts w:cs="Arial"/>
                <w:szCs w:val="22"/>
              </w:rPr>
            </w:pPr>
          </w:p>
        </w:tc>
      </w:tr>
      <w:tr w:rsidR="004C1F2C" w:rsidRPr="004C1F2C" w14:paraId="2B9C07D7" w14:textId="77777777" w:rsidTr="00492986">
        <w:tc>
          <w:tcPr>
            <w:tcW w:w="420" w:type="dxa"/>
            <w:tcBorders>
              <w:top w:val="nil"/>
              <w:left w:val="nil"/>
              <w:bottom w:val="nil"/>
              <w:right w:val="nil"/>
            </w:tcBorders>
            <w:shd w:val="clear" w:color="auto" w:fill="auto"/>
          </w:tcPr>
          <w:p w14:paraId="0A157DB2" w14:textId="77777777" w:rsidR="00FC782D" w:rsidRPr="004C1F2C" w:rsidRDefault="00FC782D" w:rsidP="00D923D6">
            <w:pPr>
              <w:ind w:right="-1440"/>
              <w:rPr>
                <w:rFonts w:cs="Arial"/>
                <w:szCs w:val="22"/>
              </w:rPr>
            </w:pPr>
          </w:p>
        </w:tc>
        <w:tc>
          <w:tcPr>
            <w:tcW w:w="2694" w:type="dxa"/>
            <w:tcBorders>
              <w:left w:val="nil"/>
              <w:right w:val="nil"/>
            </w:tcBorders>
            <w:shd w:val="clear" w:color="auto" w:fill="auto"/>
          </w:tcPr>
          <w:p w14:paraId="7583D9EC" w14:textId="77777777" w:rsidR="00FC782D" w:rsidRPr="004C1F2C" w:rsidRDefault="00FC782D" w:rsidP="00D923D6">
            <w:pPr>
              <w:ind w:left="39" w:right="-1440"/>
              <w:rPr>
                <w:rFonts w:cs="Arial"/>
                <w:b/>
                <w:szCs w:val="22"/>
              </w:rPr>
            </w:pPr>
            <w:r w:rsidRPr="004C1F2C">
              <w:rPr>
                <w:rFonts w:cs="Arial"/>
                <w:b/>
                <w:sz w:val="22"/>
                <w:szCs w:val="22"/>
              </w:rPr>
              <w:t>Operator</w:t>
            </w:r>
          </w:p>
        </w:tc>
        <w:tc>
          <w:tcPr>
            <w:tcW w:w="8618" w:type="dxa"/>
            <w:tcBorders>
              <w:left w:val="nil"/>
              <w:bottom w:val="single" w:sz="4" w:space="0" w:color="auto"/>
              <w:right w:val="nil"/>
            </w:tcBorders>
            <w:shd w:val="clear" w:color="auto" w:fill="auto"/>
          </w:tcPr>
          <w:p w14:paraId="5E4C1EC8" w14:textId="77777777" w:rsidR="00FC782D" w:rsidRPr="004C1F2C" w:rsidRDefault="00FC782D" w:rsidP="00D923D6">
            <w:pPr>
              <w:ind w:right="-1440"/>
              <w:rPr>
                <w:rFonts w:cs="Arial"/>
                <w:szCs w:val="22"/>
              </w:rPr>
            </w:pPr>
            <w:r w:rsidRPr="004C1F2C">
              <w:rPr>
                <w:rFonts w:cs="Arial"/>
                <w:sz w:val="22"/>
                <w:szCs w:val="22"/>
              </w:rPr>
              <w:t>Name</w:t>
            </w:r>
          </w:p>
          <w:p w14:paraId="2945B5CD" w14:textId="1A9B504D" w:rsidR="00FC782D" w:rsidRPr="004C1F2C" w:rsidRDefault="00C20E2F" w:rsidP="00D923D6">
            <w:pPr>
              <w:ind w:right="-1440"/>
              <w:rPr>
                <w:rFonts w:cs="Arial"/>
                <w:szCs w:val="22"/>
              </w:rPr>
            </w:pPr>
            <w:r w:rsidRPr="004C1F2C">
              <w:rPr>
                <w:rFonts w:cs="Arial"/>
                <w:sz w:val="22"/>
                <w:szCs w:val="22"/>
              </w:rPr>
              <w:t>Permali Gloucester Limited</w:t>
            </w:r>
          </w:p>
          <w:p w14:paraId="725C3676" w14:textId="77777777" w:rsidR="00FC782D" w:rsidRPr="004C1F2C" w:rsidRDefault="00FC782D" w:rsidP="00D923D6">
            <w:pPr>
              <w:ind w:right="-1440"/>
              <w:rPr>
                <w:rFonts w:cs="Arial"/>
                <w:szCs w:val="22"/>
              </w:rPr>
            </w:pPr>
          </w:p>
          <w:p w14:paraId="2F005B68" w14:textId="77777777" w:rsidR="00C20E2F" w:rsidRPr="004C1F2C" w:rsidRDefault="00FC782D" w:rsidP="00D923D6">
            <w:pPr>
              <w:ind w:right="-1440"/>
              <w:rPr>
                <w:rFonts w:cs="Arial"/>
                <w:szCs w:val="22"/>
              </w:rPr>
            </w:pPr>
            <w:r w:rsidRPr="004C1F2C">
              <w:rPr>
                <w:rFonts w:cs="Arial"/>
                <w:sz w:val="22"/>
                <w:szCs w:val="22"/>
              </w:rPr>
              <w:t>Address</w:t>
            </w:r>
          </w:p>
          <w:p w14:paraId="2A9EC6DC" w14:textId="5D0EC4A8" w:rsidR="00FC782D" w:rsidRPr="004C1F2C" w:rsidRDefault="00C20E2F" w:rsidP="00D923D6">
            <w:pPr>
              <w:ind w:right="-1440"/>
              <w:rPr>
                <w:rFonts w:cs="Arial"/>
                <w:szCs w:val="22"/>
              </w:rPr>
            </w:pPr>
            <w:r w:rsidRPr="004C1F2C">
              <w:rPr>
                <w:rFonts w:cs="Arial"/>
                <w:sz w:val="22"/>
                <w:szCs w:val="22"/>
              </w:rPr>
              <w:t>170 Bristol Road Gloucester GL1 5TT</w:t>
            </w:r>
          </w:p>
          <w:p w14:paraId="283F9DF8" w14:textId="77777777" w:rsidR="00FC782D" w:rsidRPr="004C1F2C" w:rsidRDefault="00FC782D" w:rsidP="00D923D6">
            <w:pPr>
              <w:ind w:right="-1440"/>
              <w:rPr>
                <w:rFonts w:cs="Arial"/>
                <w:szCs w:val="22"/>
              </w:rPr>
            </w:pPr>
          </w:p>
        </w:tc>
      </w:tr>
      <w:tr w:rsidR="004C1F2C" w:rsidRPr="004C1F2C" w14:paraId="13213D0D" w14:textId="77777777" w:rsidTr="00492986">
        <w:tc>
          <w:tcPr>
            <w:tcW w:w="420" w:type="dxa"/>
            <w:tcBorders>
              <w:top w:val="nil"/>
              <w:left w:val="nil"/>
              <w:bottom w:val="nil"/>
              <w:right w:val="nil"/>
            </w:tcBorders>
            <w:shd w:val="clear" w:color="auto" w:fill="auto"/>
          </w:tcPr>
          <w:p w14:paraId="1BE5874B" w14:textId="77777777" w:rsidR="00FC782D" w:rsidRPr="004C1F2C" w:rsidRDefault="00FC782D" w:rsidP="00D923D6">
            <w:pPr>
              <w:ind w:right="-1440"/>
              <w:rPr>
                <w:rFonts w:cs="Arial"/>
                <w:szCs w:val="22"/>
              </w:rPr>
            </w:pPr>
          </w:p>
        </w:tc>
        <w:tc>
          <w:tcPr>
            <w:tcW w:w="2694" w:type="dxa"/>
            <w:tcBorders>
              <w:left w:val="nil"/>
              <w:right w:val="nil"/>
            </w:tcBorders>
            <w:shd w:val="clear" w:color="auto" w:fill="auto"/>
          </w:tcPr>
          <w:p w14:paraId="4F8406F6" w14:textId="77777777" w:rsidR="00FC782D" w:rsidRPr="004C1F2C" w:rsidRDefault="00FC782D" w:rsidP="00D923D6">
            <w:pPr>
              <w:ind w:left="39" w:right="-1440"/>
              <w:rPr>
                <w:rFonts w:cs="Arial"/>
                <w:b/>
                <w:szCs w:val="22"/>
              </w:rPr>
            </w:pPr>
            <w:r w:rsidRPr="004C1F2C">
              <w:rPr>
                <w:rFonts w:cs="Arial"/>
                <w:b/>
                <w:sz w:val="22"/>
                <w:szCs w:val="22"/>
              </w:rPr>
              <w:t>Permitted Site</w:t>
            </w:r>
          </w:p>
        </w:tc>
        <w:tc>
          <w:tcPr>
            <w:tcW w:w="8618" w:type="dxa"/>
            <w:tcBorders>
              <w:left w:val="nil"/>
              <w:bottom w:val="single" w:sz="4" w:space="0" w:color="auto"/>
              <w:right w:val="nil"/>
            </w:tcBorders>
            <w:shd w:val="clear" w:color="auto" w:fill="auto"/>
          </w:tcPr>
          <w:p w14:paraId="3F8CECDB" w14:textId="77777777" w:rsidR="00C20E2F" w:rsidRPr="004C1F2C" w:rsidRDefault="00C20E2F" w:rsidP="00C20E2F">
            <w:pPr>
              <w:ind w:right="-1440"/>
              <w:rPr>
                <w:rFonts w:cs="Arial"/>
                <w:szCs w:val="22"/>
              </w:rPr>
            </w:pPr>
            <w:r w:rsidRPr="004C1F2C">
              <w:rPr>
                <w:rFonts w:cs="Arial"/>
                <w:sz w:val="22"/>
                <w:szCs w:val="22"/>
              </w:rPr>
              <w:t>Name</w:t>
            </w:r>
          </w:p>
          <w:p w14:paraId="1C67545E" w14:textId="77777777" w:rsidR="00C20E2F" w:rsidRPr="004C1F2C" w:rsidRDefault="00C20E2F" w:rsidP="00C20E2F">
            <w:pPr>
              <w:ind w:right="-1440"/>
              <w:rPr>
                <w:rFonts w:cs="Arial"/>
                <w:szCs w:val="22"/>
              </w:rPr>
            </w:pPr>
            <w:r w:rsidRPr="004C1F2C">
              <w:rPr>
                <w:rFonts w:cs="Arial"/>
                <w:sz w:val="22"/>
                <w:szCs w:val="22"/>
              </w:rPr>
              <w:t>Permali Gloucester Limited</w:t>
            </w:r>
          </w:p>
          <w:p w14:paraId="431C6693" w14:textId="77777777" w:rsidR="00C20E2F" w:rsidRPr="004C1F2C" w:rsidRDefault="00C20E2F" w:rsidP="00C20E2F">
            <w:pPr>
              <w:ind w:right="-1440"/>
              <w:rPr>
                <w:rFonts w:cs="Arial"/>
                <w:szCs w:val="22"/>
              </w:rPr>
            </w:pPr>
          </w:p>
          <w:p w14:paraId="3397F9BB" w14:textId="77777777" w:rsidR="00C20E2F" w:rsidRPr="004C1F2C" w:rsidRDefault="00C20E2F" w:rsidP="00C20E2F">
            <w:pPr>
              <w:ind w:right="-1440"/>
              <w:rPr>
                <w:rFonts w:cs="Arial"/>
                <w:szCs w:val="22"/>
              </w:rPr>
            </w:pPr>
            <w:r w:rsidRPr="004C1F2C">
              <w:rPr>
                <w:rFonts w:cs="Arial"/>
                <w:sz w:val="22"/>
                <w:szCs w:val="22"/>
              </w:rPr>
              <w:t>Address</w:t>
            </w:r>
          </w:p>
          <w:p w14:paraId="68545D16" w14:textId="77777777" w:rsidR="00C20E2F" w:rsidRPr="004C1F2C" w:rsidRDefault="00C20E2F" w:rsidP="00C20E2F">
            <w:pPr>
              <w:ind w:right="-1440"/>
              <w:rPr>
                <w:rFonts w:cs="Arial"/>
                <w:szCs w:val="22"/>
              </w:rPr>
            </w:pPr>
            <w:r w:rsidRPr="004C1F2C">
              <w:rPr>
                <w:rFonts w:cs="Arial"/>
                <w:sz w:val="22"/>
                <w:szCs w:val="22"/>
              </w:rPr>
              <w:t>170 Bristol Road Gloucester GL1 5TT</w:t>
            </w:r>
          </w:p>
          <w:p w14:paraId="7D82847A" w14:textId="77777777" w:rsidR="00FC782D" w:rsidRPr="004C1F2C" w:rsidRDefault="00FC782D" w:rsidP="00D923D6">
            <w:pPr>
              <w:ind w:right="-1440"/>
              <w:rPr>
                <w:rFonts w:cs="Arial"/>
                <w:szCs w:val="22"/>
              </w:rPr>
            </w:pPr>
          </w:p>
        </w:tc>
      </w:tr>
      <w:tr w:rsidR="004C1F2C" w:rsidRPr="004C1F2C" w14:paraId="05E66F55" w14:textId="77777777" w:rsidTr="00492986">
        <w:tc>
          <w:tcPr>
            <w:tcW w:w="420" w:type="dxa"/>
            <w:tcBorders>
              <w:top w:val="nil"/>
              <w:left w:val="nil"/>
              <w:bottom w:val="nil"/>
              <w:right w:val="nil"/>
            </w:tcBorders>
            <w:shd w:val="clear" w:color="auto" w:fill="auto"/>
          </w:tcPr>
          <w:p w14:paraId="7D2FD198" w14:textId="77777777" w:rsidR="00FC782D" w:rsidRPr="004C1F2C" w:rsidRDefault="00FC782D" w:rsidP="00D923D6">
            <w:pPr>
              <w:ind w:right="-1440"/>
              <w:rPr>
                <w:rFonts w:cs="Arial"/>
                <w:szCs w:val="22"/>
              </w:rPr>
            </w:pPr>
          </w:p>
        </w:tc>
        <w:tc>
          <w:tcPr>
            <w:tcW w:w="2694" w:type="dxa"/>
            <w:tcBorders>
              <w:left w:val="nil"/>
              <w:right w:val="nil"/>
            </w:tcBorders>
            <w:shd w:val="clear" w:color="auto" w:fill="auto"/>
          </w:tcPr>
          <w:p w14:paraId="2E88A510" w14:textId="77777777" w:rsidR="00FC782D" w:rsidRPr="004C1F2C" w:rsidRDefault="00FC782D" w:rsidP="00D923D6">
            <w:pPr>
              <w:ind w:left="39" w:right="-1440"/>
              <w:rPr>
                <w:rFonts w:cs="Arial"/>
                <w:b/>
                <w:szCs w:val="22"/>
              </w:rPr>
            </w:pPr>
            <w:r w:rsidRPr="004C1F2C">
              <w:rPr>
                <w:rFonts w:cs="Arial"/>
                <w:b/>
                <w:sz w:val="22"/>
                <w:szCs w:val="22"/>
              </w:rPr>
              <w:t>Offence</w:t>
            </w:r>
          </w:p>
        </w:tc>
        <w:tc>
          <w:tcPr>
            <w:tcW w:w="8618" w:type="dxa"/>
            <w:tcBorders>
              <w:top w:val="single" w:sz="4" w:space="0" w:color="auto"/>
              <w:left w:val="nil"/>
              <w:bottom w:val="single" w:sz="4" w:space="0" w:color="auto"/>
              <w:right w:val="nil"/>
            </w:tcBorders>
            <w:shd w:val="clear" w:color="auto" w:fill="auto"/>
          </w:tcPr>
          <w:p w14:paraId="74B82763" w14:textId="110E126F" w:rsidR="00823502" w:rsidRDefault="00823502" w:rsidP="00D923D6">
            <w:pPr>
              <w:ind w:right="34"/>
              <w:rPr>
                <w:rFonts w:cs="Arial"/>
                <w:sz w:val="22"/>
                <w:szCs w:val="22"/>
                <w:u w:val="single"/>
              </w:rPr>
            </w:pPr>
            <w:r>
              <w:rPr>
                <w:rFonts w:cs="Arial"/>
                <w:sz w:val="22"/>
                <w:szCs w:val="22"/>
                <w:u w:val="single"/>
              </w:rPr>
              <w:t>P</w:t>
            </w:r>
            <w:r w:rsidRPr="00823502">
              <w:rPr>
                <w:rFonts w:cs="Arial"/>
                <w:sz w:val="22"/>
                <w:szCs w:val="22"/>
                <w:u w:val="single"/>
              </w:rPr>
              <w:t>ermit Reference: 23/00006/A2</w:t>
            </w:r>
          </w:p>
          <w:p w14:paraId="04DBAC3E" w14:textId="77777777" w:rsidR="00823502" w:rsidRDefault="00823502" w:rsidP="00D923D6">
            <w:pPr>
              <w:ind w:right="34"/>
              <w:rPr>
                <w:rFonts w:cs="Arial"/>
                <w:sz w:val="22"/>
                <w:szCs w:val="22"/>
              </w:rPr>
            </w:pPr>
          </w:p>
          <w:p w14:paraId="4B311F91" w14:textId="10B8A3E8" w:rsidR="00FC782D" w:rsidRPr="004C1F2C" w:rsidRDefault="00516625" w:rsidP="00D923D6">
            <w:pPr>
              <w:ind w:right="34"/>
              <w:rPr>
                <w:rFonts w:cs="Arial"/>
                <w:szCs w:val="22"/>
              </w:rPr>
            </w:pPr>
            <w:r w:rsidRPr="00516625">
              <w:rPr>
                <w:rFonts w:cs="Arial"/>
                <w:sz w:val="22"/>
                <w:szCs w:val="22"/>
              </w:rPr>
              <w:t>Due to continued emissions of noise from your site adversely impacting neighbouring sensitive receptors</w:t>
            </w:r>
            <w:r w:rsidR="00632F43">
              <w:rPr>
                <w:rFonts w:cs="Arial"/>
                <w:sz w:val="22"/>
                <w:szCs w:val="22"/>
              </w:rPr>
              <w:t>,</w:t>
            </w:r>
            <w:r>
              <w:rPr>
                <w:rFonts w:cs="Arial"/>
                <w:sz w:val="22"/>
                <w:szCs w:val="22"/>
              </w:rPr>
              <w:t xml:space="preserve"> t</w:t>
            </w:r>
            <w:r w:rsidR="00FC782D" w:rsidRPr="004C1F2C">
              <w:rPr>
                <w:rFonts w:cs="Arial"/>
                <w:sz w:val="22"/>
                <w:szCs w:val="22"/>
              </w:rPr>
              <w:t xml:space="preserve">he </w:t>
            </w:r>
            <w:r w:rsidR="00C20E2F" w:rsidRPr="004C1F2C">
              <w:rPr>
                <w:rFonts w:cs="Arial"/>
                <w:sz w:val="22"/>
                <w:szCs w:val="22"/>
                <w:shd w:val="clear" w:color="auto" w:fill="FFFFFF"/>
              </w:rPr>
              <w:t>City Council</w:t>
            </w:r>
            <w:r w:rsidR="00C31230" w:rsidRPr="004C1F2C">
              <w:rPr>
                <w:rFonts w:cs="Arial"/>
                <w:sz w:val="22"/>
                <w:szCs w:val="22"/>
                <w:shd w:val="clear" w:color="auto" w:fill="FFFFFF"/>
              </w:rPr>
              <w:t xml:space="preserve"> </w:t>
            </w:r>
            <w:r w:rsidR="00FC782D" w:rsidRPr="004C1F2C">
              <w:rPr>
                <w:rFonts w:cs="Arial"/>
                <w:sz w:val="22"/>
                <w:szCs w:val="22"/>
              </w:rPr>
              <w:t xml:space="preserve">considers that you </w:t>
            </w:r>
            <w:r w:rsidR="00C55DFB" w:rsidRPr="004C1F2C">
              <w:rPr>
                <w:rFonts w:cs="Arial"/>
                <w:sz w:val="22"/>
                <w:szCs w:val="22"/>
              </w:rPr>
              <w:t xml:space="preserve">that you are contravening </w:t>
            </w:r>
            <w:r w:rsidR="00FC782D" w:rsidRPr="004C1F2C">
              <w:rPr>
                <w:rFonts w:cs="Arial"/>
                <w:sz w:val="22"/>
                <w:szCs w:val="22"/>
              </w:rPr>
              <w:t xml:space="preserve">the environmental permit condition </w:t>
            </w:r>
            <w:r w:rsidR="00BE642A">
              <w:rPr>
                <w:rFonts w:cs="Arial"/>
                <w:sz w:val="22"/>
                <w:szCs w:val="22"/>
              </w:rPr>
              <w:t xml:space="preserve">3.5.1, </w:t>
            </w:r>
            <w:r w:rsidR="00FC782D" w:rsidRPr="004C1F2C">
              <w:rPr>
                <w:rFonts w:cs="Arial"/>
                <w:sz w:val="22"/>
                <w:szCs w:val="22"/>
              </w:rPr>
              <w:t xml:space="preserve">relating to the operation of the </w:t>
            </w:r>
            <w:r w:rsidR="004C1F2C" w:rsidRPr="004C1F2C">
              <w:rPr>
                <w:rFonts w:cs="Arial"/>
                <w:sz w:val="22"/>
                <w:szCs w:val="22"/>
              </w:rPr>
              <w:t>above-mentioned</w:t>
            </w:r>
            <w:r w:rsidR="00FC782D" w:rsidRPr="004C1F2C">
              <w:rPr>
                <w:rFonts w:cs="Arial"/>
                <w:sz w:val="22"/>
                <w:szCs w:val="22"/>
              </w:rPr>
              <w:t xml:space="preserve"> site</w:t>
            </w:r>
            <w:r w:rsidR="00897578">
              <w:rPr>
                <w:rFonts w:cs="Arial"/>
                <w:sz w:val="22"/>
                <w:szCs w:val="22"/>
              </w:rPr>
              <w:t>.</w:t>
            </w:r>
          </w:p>
          <w:p w14:paraId="170F0CF2" w14:textId="77777777" w:rsidR="00FC782D" w:rsidRPr="004C1F2C" w:rsidRDefault="00FC782D" w:rsidP="00D923D6">
            <w:pPr>
              <w:ind w:right="34"/>
              <w:rPr>
                <w:rFonts w:cs="Arial"/>
                <w:szCs w:val="22"/>
              </w:rPr>
            </w:pPr>
          </w:p>
          <w:p w14:paraId="6B8C7160" w14:textId="5689212B" w:rsidR="00FC782D" w:rsidRPr="004C1F2C" w:rsidRDefault="00C55DFB" w:rsidP="00D923D6">
            <w:pPr>
              <w:ind w:right="34"/>
              <w:rPr>
                <w:rFonts w:cs="Arial"/>
                <w:szCs w:val="22"/>
              </w:rPr>
            </w:pPr>
            <w:r w:rsidRPr="004C1F2C">
              <w:rPr>
                <w:rFonts w:cs="Arial"/>
                <w:sz w:val="22"/>
                <w:szCs w:val="22"/>
              </w:rPr>
              <w:t xml:space="preserve">Condition 3.5.1 States: Emissions from the activities shall be free from noise and vibration at levels likely to cause pollution outside the site, as perceived by an authorised officer of the Regulator, The operator shall implement the approved and incorporated Noise Management Plan as detailed in </w:t>
            </w:r>
            <w:r w:rsidR="00023CE8" w:rsidRPr="004C1F2C">
              <w:rPr>
                <w:rFonts w:cs="Arial"/>
                <w:sz w:val="22"/>
                <w:szCs w:val="22"/>
              </w:rPr>
              <w:t>S1.2,</w:t>
            </w:r>
            <w:r w:rsidRPr="004C1F2C">
              <w:rPr>
                <w:rFonts w:cs="Arial"/>
                <w:sz w:val="22"/>
                <w:szCs w:val="22"/>
              </w:rPr>
              <w:t xml:space="preserve"> of permit, reference 23/00006/A2 dated 21</w:t>
            </w:r>
            <w:r w:rsidRPr="004C1F2C">
              <w:rPr>
                <w:rFonts w:cs="Arial"/>
                <w:sz w:val="22"/>
                <w:szCs w:val="22"/>
                <w:vertAlign w:val="superscript"/>
              </w:rPr>
              <w:t>st</w:t>
            </w:r>
            <w:r w:rsidRPr="004C1F2C">
              <w:rPr>
                <w:rFonts w:cs="Arial"/>
                <w:sz w:val="22"/>
                <w:szCs w:val="22"/>
              </w:rPr>
              <w:t xml:space="preserve">  November 2023 </w:t>
            </w:r>
            <w:r w:rsidRPr="00023CE8">
              <w:rPr>
                <w:rFonts w:cs="Arial"/>
                <w:b/>
                <w:bCs/>
                <w:sz w:val="22"/>
                <w:szCs w:val="22"/>
              </w:rPr>
              <w:t>(</w:t>
            </w:r>
            <w:hyperlink r:id="rId6" w:history="1">
              <w:r w:rsidRPr="007C6268">
                <w:rPr>
                  <w:rStyle w:val="Hyperlink"/>
                  <w:rFonts w:cs="Arial"/>
                  <w:b/>
                  <w:bCs/>
                  <w:sz w:val="22"/>
                  <w:szCs w:val="22"/>
                </w:rPr>
                <w:t>APPENDIX 2</w:t>
              </w:r>
            </w:hyperlink>
            <w:r w:rsidRPr="00023CE8">
              <w:rPr>
                <w:rFonts w:cs="Arial"/>
                <w:b/>
                <w:bCs/>
                <w:sz w:val="22"/>
                <w:szCs w:val="22"/>
              </w:rPr>
              <w:t>)</w:t>
            </w:r>
          </w:p>
        </w:tc>
      </w:tr>
      <w:tr w:rsidR="004C1F2C" w:rsidRPr="004C1F2C" w14:paraId="722DE5A3" w14:textId="77777777" w:rsidTr="00492986">
        <w:tc>
          <w:tcPr>
            <w:tcW w:w="420" w:type="dxa"/>
            <w:tcBorders>
              <w:top w:val="nil"/>
              <w:left w:val="nil"/>
              <w:bottom w:val="nil"/>
              <w:right w:val="nil"/>
            </w:tcBorders>
            <w:shd w:val="clear" w:color="auto" w:fill="auto"/>
          </w:tcPr>
          <w:p w14:paraId="7449C24E" w14:textId="77777777" w:rsidR="00FC782D" w:rsidRPr="004C1F2C" w:rsidRDefault="00FC782D" w:rsidP="00D923D6">
            <w:pPr>
              <w:ind w:right="-1440"/>
              <w:rPr>
                <w:rFonts w:cs="Arial"/>
                <w:szCs w:val="22"/>
              </w:rPr>
            </w:pPr>
          </w:p>
        </w:tc>
        <w:tc>
          <w:tcPr>
            <w:tcW w:w="2694" w:type="dxa"/>
            <w:tcBorders>
              <w:left w:val="nil"/>
              <w:right w:val="nil"/>
            </w:tcBorders>
            <w:shd w:val="clear" w:color="auto" w:fill="auto"/>
          </w:tcPr>
          <w:p w14:paraId="4CB00D8A" w14:textId="77777777" w:rsidR="00FC782D" w:rsidRPr="004C1F2C" w:rsidRDefault="00FC782D" w:rsidP="00D923D6">
            <w:pPr>
              <w:ind w:left="39" w:right="-1440"/>
              <w:rPr>
                <w:rFonts w:cs="Arial"/>
                <w:b/>
                <w:szCs w:val="22"/>
              </w:rPr>
            </w:pPr>
            <w:r w:rsidRPr="004C1F2C">
              <w:rPr>
                <w:rFonts w:cs="Arial"/>
                <w:b/>
                <w:sz w:val="22"/>
                <w:szCs w:val="22"/>
              </w:rPr>
              <w:t>Action required</w:t>
            </w:r>
          </w:p>
        </w:tc>
        <w:tc>
          <w:tcPr>
            <w:tcW w:w="8618" w:type="dxa"/>
            <w:tcBorders>
              <w:top w:val="single" w:sz="4" w:space="0" w:color="auto"/>
              <w:left w:val="nil"/>
              <w:bottom w:val="single" w:sz="4" w:space="0" w:color="auto"/>
              <w:right w:val="nil"/>
            </w:tcBorders>
            <w:shd w:val="clear" w:color="auto" w:fill="auto"/>
          </w:tcPr>
          <w:p w14:paraId="190453DB" w14:textId="03BEBDE8" w:rsidR="00FC782D" w:rsidRPr="004C1F2C" w:rsidRDefault="00FC782D" w:rsidP="00D923D6">
            <w:pPr>
              <w:ind w:right="34"/>
              <w:rPr>
                <w:rFonts w:cs="Arial"/>
                <w:szCs w:val="22"/>
              </w:rPr>
            </w:pPr>
            <w:r w:rsidRPr="004C1F2C">
              <w:rPr>
                <w:rFonts w:cs="Arial"/>
                <w:sz w:val="22"/>
                <w:szCs w:val="22"/>
              </w:rPr>
              <w:t xml:space="preserve">The following steps must be taken in accordance with the attached timescale to remedy the </w:t>
            </w:r>
            <w:r w:rsidR="004C1F2C" w:rsidRPr="004C1F2C">
              <w:rPr>
                <w:rFonts w:cs="Arial"/>
                <w:sz w:val="22"/>
                <w:szCs w:val="22"/>
              </w:rPr>
              <w:t>contravention.</w:t>
            </w:r>
          </w:p>
          <w:p w14:paraId="3F002B41" w14:textId="77777777" w:rsidR="00C55DFB" w:rsidRPr="004C1F2C" w:rsidRDefault="00C55DFB" w:rsidP="00D923D6">
            <w:pPr>
              <w:ind w:right="34"/>
              <w:rPr>
                <w:rFonts w:cs="Arial"/>
                <w:szCs w:val="22"/>
              </w:rPr>
            </w:pPr>
          </w:p>
          <w:p w14:paraId="5611C18A" w14:textId="4E72D431" w:rsidR="00FC782D" w:rsidRPr="004C1F2C" w:rsidRDefault="00C55DFB" w:rsidP="00D923D6">
            <w:pPr>
              <w:ind w:right="34"/>
              <w:rPr>
                <w:rFonts w:cs="Arial"/>
                <w:szCs w:val="22"/>
              </w:rPr>
            </w:pPr>
            <w:r w:rsidRPr="004C1F2C">
              <w:rPr>
                <w:rFonts w:cs="Arial"/>
                <w:sz w:val="22"/>
                <w:szCs w:val="22"/>
              </w:rPr>
              <w:t xml:space="preserve">to take appropriate steps as outlined in the approved Noise Management plan </w:t>
            </w:r>
            <w:r w:rsidRPr="00023CE8">
              <w:rPr>
                <w:rFonts w:cs="Arial"/>
                <w:b/>
                <w:bCs/>
                <w:sz w:val="22"/>
                <w:szCs w:val="22"/>
              </w:rPr>
              <w:t>(</w:t>
            </w:r>
            <w:hyperlink r:id="rId7" w:history="1">
              <w:r w:rsidRPr="007C6268">
                <w:rPr>
                  <w:rStyle w:val="Hyperlink"/>
                  <w:rFonts w:cs="Arial"/>
                  <w:b/>
                  <w:bCs/>
                  <w:sz w:val="22"/>
                  <w:szCs w:val="22"/>
                </w:rPr>
                <w:t>APPENDIX 1</w:t>
              </w:r>
            </w:hyperlink>
            <w:r w:rsidR="004C1F2C" w:rsidRPr="00023CE8">
              <w:rPr>
                <w:rFonts w:cs="Arial"/>
                <w:b/>
                <w:bCs/>
                <w:sz w:val="22"/>
                <w:szCs w:val="22"/>
              </w:rPr>
              <w:t>)</w:t>
            </w:r>
            <w:r w:rsidR="004C1F2C" w:rsidRPr="004C1F2C">
              <w:rPr>
                <w:rFonts w:cs="Arial"/>
                <w:sz w:val="22"/>
                <w:szCs w:val="22"/>
              </w:rPr>
              <w:t xml:space="preserve"> so</w:t>
            </w:r>
            <w:r w:rsidRPr="004C1F2C">
              <w:rPr>
                <w:rFonts w:cs="Arial"/>
                <w:sz w:val="22"/>
                <w:szCs w:val="22"/>
              </w:rPr>
              <w:t xml:space="preserve"> as not to adversely impact sensitive neighbouring receptors within </w:t>
            </w:r>
            <w:r w:rsidRPr="001B5054">
              <w:rPr>
                <w:rFonts w:cs="Arial"/>
                <w:b/>
                <w:bCs/>
                <w:sz w:val="22"/>
                <w:szCs w:val="22"/>
              </w:rPr>
              <w:t>seven days</w:t>
            </w:r>
            <w:r w:rsidRPr="004C1F2C">
              <w:rPr>
                <w:rFonts w:cs="Arial"/>
                <w:sz w:val="22"/>
                <w:szCs w:val="22"/>
              </w:rPr>
              <w:t xml:space="preserve"> of the service of this notice.</w:t>
            </w:r>
          </w:p>
          <w:p w14:paraId="714DE922" w14:textId="77777777" w:rsidR="00FC782D" w:rsidRPr="004C1F2C" w:rsidRDefault="00FC782D" w:rsidP="00D923D6">
            <w:pPr>
              <w:ind w:right="34"/>
              <w:rPr>
                <w:rFonts w:cs="Arial"/>
                <w:szCs w:val="22"/>
              </w:rPr>
            </w:pPr>
          </w:p>
          <w:p w14:paraId="54F5BBAE" w14:textId="77777777" w:rsidR="00FC782D" w:rsidRPr="004C1F2C" w:rsidRDefault="00FC782D" w:rsidP="00D923D6">
            <w:pPr>
              <w:ind w:right="34"/>
              <w:rPr>
                <w:rFonts w:cs="Arial"/>
                <w:szCs w:val="22"/>
              </w:rPr>
            </w:pPr>
          </w:p>
        </w:tc>
      </w:tr>
      <w:tr w:rsidR="004C1F2C" w:rsidRPr="004C1F2C" w14:paraId="55800C29" w14:textId="77777777" w:rsidTr="00492986">
        <w:tc>
          <w:tcPr>
            <w:tcW w:w="420" w:type="dxa"/>
            <w:tcBorders>
              <w:top w:val="nil"/>
              <w:left w:val="nil"/>
              <w:bottom w:val="nil"/>
              <w:right w:val="nil"/>
            </w:tcBorders>
            <w:shd w:val="clear" w:color="auto" w:fill="auto"/>
          </w:tcPr>
          <w:p w14:paraId="65CF9FD7" w14:textId="77777777" w:rsidR="00FC782D" w:rsidRPr="004C1F2C" w:rsidRDefault="00FC782D" w:rsidP="00D923D6">
            <w:pPr>
              <w:ind w:right="-1440"/>
              <w:rPr>
                <w:rFonts w:cs="Arial"/>
                <w:szCs w:val="22"/>
              </w:rPr>
            </w:pPr>
          </w:p>
        </w:tc>
        <w:tc>
          <w:tcPr>
            <w:tcW w:w="2694" w:type="dxa"/>
            <w:tcBorders>
              <w:left w:val="nil"/>
              <w:right w:val="nil"/>
            </w:tcBorders>
            <w:shd w:val="clear" w:color="auto" w:fill="auto"/>
          </w:tcPr>
          <w:p w14:paraId="6933DE3C" w14:textId="77777777" w:rsidR="00FC782D" w:rsidRPr="004C1F2C" w:rsidRDefault="00FC782D" w:rsidP="00D923D6">
            <w:pPr>
              <w:ind w:left="39" w:right="-1440"/>
              <w:rPr>
                <w:rFonts w:cs="Arial"/>
                <w:b/>
                <w:szCs w:val="22"/>
              </w:rPr>
            </w:pPr>
            <w:r w:rsidRPr="004C1F2C">
              <w:rPr>
                <w:rFonts w:cs="Arial"/>
                <w:b/>
                <w:sz w:val="22"/>
                <w:szCs w:val="22"/>
              </w:rPr>
              <w:t>Officer</w:t>
            </w:r>
          </w:p>
        </w:tc>
        <w:tc>
          <w:tcPr>
            <w:tcW w:w="8618" w:type="dxa"/>
            <w:tcBorders>
              <w:top w:val="single" w:sz="4" w:space="0" w:color="auto"/>
              <w:left w:val="nil"/>
              <w:bottom w:val="single" w:sz="4" w:space="0" w:color="auto"/>
              <w:right w:val="nil"/>
            </w:tcBorders>
            <w:shd w:val="clear" w:color="auto" w:fill="auto"/>
          </w:tcPr>
          <w:p w14:paraId="05E1898E" w14:textId="37611E28" w:rsidR="00FC782D" w:rsidRPr="004C1F2C" w:rsidRDefault="00FC782D" w:rsidP="00D923D6">
            <w:pPr>
              <w:rPr>
                <w:rFonts w:cs="Arial"/>
                <w:szCs w:val="22"/>
              </w:rPr>
            </w:pPr>
            <w:r w:rsidRPr="004C1F2C">
              <w:rPr>
                <w:rFonts w:cs="Arial"/>
                <w:sz w:val="22"/>
                <w:szCs w:val="22"/>
              </w:rPr>
              <w:t xml:space="preserve">Signature: </w:t>
            </w:r>
            <w:r w:rsidRPr="004C1F2C">
              <w:rPr>
                <w:rFonts w:cs="Arial"/>
                <w:sz w:val="22"/>
                <w:szCs w:val="22"/>
              </w:rPr>
              <w:br/>
            </w:r>
            <w:r w:rsidR="002B706D">
              <w:rPr>
                <w:rFonts w:cs="Arial"/>
                <w:noProof/>
                <w:sz w:val="22"/>
                <w:szCs w:val="22"/>
              </w:rPr>
              <w:drawing>
                <wp:inline distT="0" distB="0" distL="0" distR="0" wp14:anchorId="0930EDD0" wp14:editId="6BC5E6A9">
                  <wp:extent cx="1042670" cy="292735"/>
                  <wp:effectExtent l="0" t="0" r="0" b="0"/>
                  <wp:docPr id="1959958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670" cy="292735"/>
                          </a:xfrm>
                          <a:prstGeom prst="rect">
                            <a:avLst/>
                          </a:prstGeom>
                          <a:noFill/>
                        </pic:spPr>
                      </pic:pic>
                    </a:graphicData>
                  </a:graphic>
                </wp:inline>
              </w:drawing>
            </w:r>
          </w:p>
          <w:p w14:paraId="000C3132" w14:textId="3FC9D07A" w:rsidR="00C31230" w:rsidRPr="004C1F2C" w:rsidRDefault="00C31230" w:rsidP="00C31230">
            <w:pPr>
              <w:rPr>
                <w:rFonts w:cs="Arial"/>
                <w:szCs w:val="22"/>
              </w:rPr>
            </w:pPr>
            <w:r w:rsidRPr="004C1F2C">
              <w:rPr>
                <w:rFonts w:cs="Arial"/>
                <w:sz w:val="22"/>
                <w:szCs w:val="22"/>
              </w:rPr>
              <w:t>Name:</w:t>
            </w:r>
            <w:r w:rsidRPr="004C1F2C">
              <w:rPr>
                <w:rFonts w:cs="Arial"/>
                <w:sz w:val="22"/>
                <w:szCs w:val="22"/>
              </w:rPr>
              <w:br/>
            </w:r>
            <w:r w:rsidR="00C55DFB" w:rsidRPr="004C1F2C">
              <w:rPr>
                <w:rFonts w:cs="Arial"/>
                <w:sz w:val="22"/>
                <w:szCs w:val="22"/>
                <w:shd w:val="clear" w:color="auto" w:fill="FFFFFF"/>
              </w:rPr>
              <w:t>Gupti Gosine</w:t>
            </w:r>
          </w:p>
          <w:p w14:paraId="6EC7FEF0" w14:textId="77777777" w:rsidR="00C31230" w:rsidRPr="004C1F2C" w:rsidRDefault="00C31230" w:rsidP="00C31230">
            <w:pPr>
              <w:rPr>
                <w:rFonts w:cs="Arial"/>
                <w:szCs w:val="22"/>
              </w:rPr>
            </w:pPr>
          </w:p>
          <w:p w14:paraId="098C2ABD" w14:textId="77777777" w:rsidR="00C31230" w:rsidRPr="004C1F2C" w:rsidRDefault="00C31230" w:rsidP="00C31230">
            <w:pPr>
              <w:rPr>
                <w:rFonts w:cs="Arial"/>
                <w:szCs w:val="22"/>
              </w:rPr>
            </w:pPr>
            <w:r w:rsidRPr="004C1F2C">
              <w:rPr>
                <w:rFonts w:cs="Arial"/>
                <w:sz w:val="22"/>
                <w:szCs w:val="22"/>
              </w:rPr>
              <w:t>Title:</w:t>
            </w:r>
          </w:p>
          <w:p w14:paraId="5F737DD1" w14:textId="15B363D8" w:rsidR="00C31230" w:rsidRPr="004C1F2C" w:rsidRDefault="00C55DFB" w:rsidP="00C31230">
            <w:pPr>
              <w:rPr>
                <w:rFonts w:cs="Arial"/>
                <w:szCs w:val="22"/>
              </w:rPr>
            </w:pPr>
            <w:r w:rsidRPr="004C1F2C">
              <w:rPr>
                <w:rFonts w:cs="Arial"/>
                <w:sz w:val="22"/>
                <w:szCs w:val="22"/>
                <w:shd w:val="clear" w:color="auto" w:fill="FFFFFF"/>
              </w:rPr>
              <w:lastRenderedPageBreak/>
              <w:t>Community Wellbeing Manager</w:t>
            </w:r>
          </w:p>
          <w:p w14:paraId="6CAEA7F2" w14:textId="6779815D" w:rsidR="00C31230" w:rsidRPr="004C1F2C" w:rsidRDefault="00C31230" w:rsidP="00C31230">
            <w:pPr>
              <w:rPr>
                <w:rFonts w:cs="Arial"/>
                <w:szCs w:val="22"/>
              </w:rPr>
            </w:pPr>
            <w:r w:rsidRPr="004C1F2C">
              <w:rPr>
                <w:rFonts w:cs="Arial"/>
                <w:sz w:val="22"/>
                <w:szCs w:val="22"/>
              </w:rPr>
              <w:t xml:space="preserve">Date: </w:t>
            </w:r>
            <w:r w:rsidR="0060229D">
              <w:rPr>
                <w:rFonts w:cs="Arial"/>
                <w:sz w:val="22"/>
                <w:szCs w:val="22"/>
              </w:rPr>
              <w:t>10</w:t>
            </w:r>
            <w:r w:rsidR="0060229D" w:rsidRPr="0060229D">
              <w:rPr>
                <w:rFonts w:cs="Arial"/>
                <w:sz w:val="22"/>
                <w:szCs w:val="22"/>
                <w:vertAlign w:val="superscript"/>
              </w:rPr>
              <w:t>th</w:t>
            </w:r>
            <w:r w:rsidR="0060229D">
              <w:rPr>
                <w:rFonts w:cs="Arial"/>
                <w:sz w:val="22"/>
                <w:szCs w:val="22"/>
              </w:rPr>
              <w:t xml:space="preserve"> April 2025</w:t>
            </w:r>
          </w:p>
          <w:p w14:paraId="036DD3C6" w14:textId="77777777" w:rsidR="00C31230" w:rsidRPr="004C1F2C" w:rsidRDefault="00C31230" w:rsidP="00C31230">
            <w:pPr>
              <w:rPr>
                <w:rFonts w:cs="Arial"/>
                <w:szCs w:val="22"/>
              </w:rPr>
            </w:pPr>
          </w:p>
          <w:p w14:paraId="383EDD49" w14:textId="77777777" w:rsidR="00C55DFB" w:rsidRPr="004C1F2C" w:rsidRDefault="00C31230" w:rsidP="00C55DFB">
            <w:pPr>
              <w:rPr>
                <w:rFonts w:cs="Arial"/>
                <w:szCs w:val="22"/>
                <w:shd w:val="clear" w:color="auto" w:fill="FFFFFF"/>
              </w:rPr>
            </w:pPr>
            <w:r w:rsidRPr="004C1F2C">
              <w:rPr>
                <w:rFonts w:cs="Arial"/>
                <w:sz w:val="22"/>
                <w:szCs w:val="22"/>
              </w:rPr>
              <w:t>Contact address:</w:t>
            </w:r>
            <w:r w:rsidRPr="004C1F2C">
              <w:rPr>
                <w:rFonts w:cs="Arial"/>
                <w:sz w:val="22"/>
                <w:szCs w:val="22"/>
              </w:rPr>
              <w:br/>
            </w:r>
            <w:r w:rsidR="00C55DFB" w:rsidRPr="004C1F2C">
              <w:rPr>
                <w:rFonts w:cs="Arial"/>
                <w:sz w:val="22"/>
                <w:szCs w:val="22"/>
                <w:shd w:val="clear" w:color="auto" w:fill="FFFFFF"/>
              </w:rPr>
              <w:t xml:space="preserve">Gloucester City Council </w:t>
            </w:r>
          </w:p>
          <w:p w14:paraId="5EBC1515" w14:textId="77777777" w:rsidR="00C55DFB" w:rsidRPr="004C1F2C" w:rsidRDefault="00C55DFB" w:rsidP="00C55DFB">
            <w:pPr>
              <w:rPr>
                <w:rFonts w:cs="Arial"/>
                <w:szCs w:val="22"/>
                <w:shd w:val="clear" w:color="auto" w:fill="FFFFFF"/>
              </w:rPr>
            </w:pPr>
            <w:r w:rsidRPr="004C1F2C">
              <w:rPr>
                <w:rFonts w:cs="Arial"/>
                <w:sz w:val="22"/>
                <w:szCs w:val="22"/>
                <w:shd w:val="clear" w:color="auto" w:fill="FFFFFF"/>
              </w:rPr>
              <w:t>Eastgate Management Suite</w:t>
            </w:r>
          </w:p>
          <w:p w14:paraId="70819F1E" w14:textId="77777777" w:rsidR="00C55DFB" w:rsidRPr="004C1F2C" w:rsidRDefault="00C55DFB" w:rsidP="00C55DFB">
            <w:pPr>
              <w:rPr>
                <w:rFonts w:cs="Arial"/>
                <w:szCs w:val="22"/>
                <w:shd w:val="clear" w:color="auto" w:fill="FFFFFF"/>
              </w:rPr>
            </w:pPr>
            <w:r w:rsidRPr="004C1F2C">
              <w:rPr>
                <w:rFonts w:cs="Arial"/>
                <w:sz w:val="22"/>
                <w:szCs w:val="22"/>
                <w:shd w:val="clear" w:color="auto" w:fill="FFFFFF"/>
              </w:rPr>
              <w:t xml:space="preserve">Eastgate Street         </w:t>
            </w:r>
          </w:p>
          <w:p w14:paraId="37C22F98" w14:textId="77777777" w:rsidR="00C55DFB" w:rsidRPr="004C1F2C" w:rsidRDefault="00C55DFB" w:rsidP="00C55DFB">
            <w:pPr>
              <w:rPr>
                <w:rFonts w:cs="Arial"/>
                <w:szCs w:val="22"/>
                <w:shd w:val="clear" w:color="auto" w:fill="FFFFFF"/>
              </w:rPr>
            </w:pPr>
            <w:r w:rsidRPr="004C1F2C">
              <w:rPr>
                <w:rFonts w:cs="Arial"/>
                <w:sz w:val="22"/>
                <w:szCs w:val="22"/>
                <w:shd w:val="clear" w:color="auto" w:fill="FFFFFF"/>
              </w:rPr>
              <w:t xml:space="preserve">Gloucester               </w:t>
            </w:r>
          </w:p>
          <w:p w14:paraId="73B13713" w14:textId="2FA8B110" w:rsidR="00C31230" w:rsidRPr="004C1F2C" w:rsidRDefault="00C55DFB" w:rsidP="00C55DFB">
            <w:pPr>
              <w:rPr>
                <w:rFonts w:cs="Arial"/>
                <w:szCs w:val="22"/>
              </w:rPr>
            </w:pPr>
            <w:r w:rsidRPr="004C1F2C">
              <w:rPr>
                <w:rFonts w:cs="Arial"/>
                <w:sz w:val="22"/>
                <w:szCs w:val="22"/>
                <w:shd w:val="clear" w:color="auto" w:fill="FFFFFF"/>
              </w:rPr>
              <w:t xml:space="preserve">GL1 1PA </w:t>
            </w:r>
          </w:p>
          <w:p w14:paraId="709AD0F4" w14:textId="1FB515A9" w:rsidR="00C31230" w:rsidRPr="004C1F2C" w:rsidRDefault="00C31230" w:rsidP="00C31230">
            <w:pPr>
              <w:rPr>
                <w:rFonts w:cs="Arial"/>
                <w:szCs w:val="22"/>
              </w:rPr>
            </w:pPr>
            <w:r w:rsidRPr="004C1F2C">
              <w:rPr>
                <w:rFonts w:cs="Arial"/>
                <w:sz w:val="22"/>
                <w:szCs w:val="22"/>
              </w:rPr>
              <w:t xml:space="preserve">Email: </w:t>
            </w:r>
            <w:r w:rsidR="0060229D">
              <w:rPr>
                <w:rFonts w:cs="Arial"/>
                <w:sz w:val="22"/>
                <w:szCs w:val="22"/>
              </w:rPr>
              <w:t xml:space="preserve"> </w:t>
            </w:r>
            <w:r w:rsidR="00C55DFB" w:rsidRPr="004C1F2C">
              <w:rPr>
                <w:rFonts w:cs="Arial"/>
                <w:sz w:val="22"/>
                <w:szCs w:val="22"/>
                <w:shd w:val="clear" w:color="auto" w:fill="FFFFFF"/>
              </w:rPr>
              <w:t>Gupti.gosine@gloucester.gov.uk</w:t>
            </w:r>
          </w:p>
          <w:p w14:paraId="7E4F26FC" w14:textId="77777777" w:rsidR="00C31230" w:rsidRPr="004C1F2C" w:rsidRDefault="00C31230" w:rsidP="00C31230">
            <w:pPr>
              <w:rPr>
                <w:rFonts w:cs="Arial"/>
                <w:szCs w:val="22"/>
              </w:rPr>
            </w:pPr>
          </w:p>
          <w:p w14:paraId="78ED9972" w14:textId="28E73715" w:rsidR="00C31230" w:rsidRPr="004C1F2C" w:rsidRDefault="00C31230" w:rsidP="00C31230">
            <w:pPr>
              <w:rPr>
                <w:rFonts w:cs="Arial"/>
                <w:szCs w:val="22"/>
              </w:rPr>
            </w:pPr>
            <w:r w:rsidRPr="004C1F2C">
              <w:rPr>
                <w:rFonts w:cs="Arial"/>
                <w:sz w:val="22"/>
                <w:szCs w:val="22"/>
              </w:rPr>
              <w:t>Telephone:</w:t>
            </w:r>
            <w:r w:rsidR="0060229D">
              <w:rPr>
                <w:rFonts w:cs="Arial"/>
                <w:sz w:val="22"/>
                <w:szCs w:val="22"/>
              </w:rPr>
              <w:t xml:space="preserve"> </w:t>
            </w:r>
            <w:r w:rsidR="004C1F2C">
              <w:rPr>
                <w:rFonts w:cs="Arial"/>
                <w:sz w:val="22"/>
                <w:szCs w:val="22"/>
                <w:shd w:val="clear" w:color="auto" w:fill="FFFFFF"/>
              </w:rPr>
              <w:t>01452</w:t>
            </w:r>
            <w:r w:rsidR="002B6CD0">
              <w:rPr>
                <w:rFonts w:cs="Arial"/>
                <w:sz w:val="22"/>
                <w:szCs w:val="22"/>
                <w:shd w:val="clear" w:color="auto" w:fill="FFFFFF"/>
              </w:rPr>
              <w:t xml:space="preserve"> </w:t>
            </w:r>
            <w:r w:rsidR="004C1F2C">
              <w:rPr>
                <w:rFonts w:cs="Arial"/>
                <w:sz w:val="22"/>
                <w:szCs w:val="22"/>
                <w:shd w:val="clear" w:color="auto" w:fill="FFFFFF"/>
              </w:rPr>
              <w:t>396288</w:t>
            </w:r>
          </w:p>
          <w:p w14:paraId="041C8752" w14:textId="77777777" w:rsidR="00FC782D" w:rsidRPr="004C1F2C" w:rsidRDefault="00FC782D" w:rsidP="00D923D6">
            <w:pPr>
              <w:rPr>
                <w:rFonts w:cs="Arial"/>
                <w:szCs w:val="22"/>
              </w:rPr>
            </w:pPr>
          </w:p>
        </w:tc>
      </w:tr>
      <w:tr w:rsidR="004C1F2C" w:rsidRPr="004C1F2C" w14:paraId="07961EEC" w14:textId="77777777" w:rsidTr="00492986">
        <w:tc>
          <w:tcPr>
            <w:tcW w:w="420" w:type="dxa"/>
            <w:tcBorders>
              <w:top w:val="nil"/>
              <w:left w:val="nil"/>
              <w:bottom w:val="nil"/>
              <w:right w:val="nil"/>
            </w:tcBorders>
            <w:shd w:val="clear" w:color="auto" w:fill="auto"/>
          </w:tcPr>
          <w:p w14:paraId="2C5F63A7" w14:textId="77777777" w:rsidR="00FC782D" w:rsidRPr="004C1F2C" w:rsidRDefault="00FC782D" w:rsidP="00D923D6">
            <w:pPr>
              <w:ind w:right="-1440"/>
              <w:rPr>
                <w:rFonts w:cs="Arial"/>
                <w:szCs w:val="22"/>
              </w:rPr>
            </w:pPr>
          </w:p>
        </w:tc>
        <w:tc>
          <w:tcPr>
            <w:tcW w:w="2694" w:type="dxa"/>
            <w:tcBorders>
              <w:left w:val="nil"/>
              <w:right w:val="nil"/>
            </w:tcBorders>
            <w:shd w:val="clear" w:color="auto" w:fill="auto"/>
          </w:tcPr>
          <w:p w14:paraId="627EC094" w14:textId="77777777" w:rsidR="00FC782D" w:rsidRPr="004C1F2C" w:rsidRDefault="00FC782D" w:rsidP="00D923D6">
            <w:pPr>
              <w:ind w:left="39" w:right="-1440"/>
              <w:rPr>
                <w:rFonts w:cs="Arial"/>
                <w:b/>
                <w:szCs w:val="22"/>
              </w:rPr>
            </w:pPr>
            <w:r w:rsidRPr="004C1F2C">
              <w:rPr>
                <w:rFonts w:cs="Arial"/>
                <w:b/>
                <w:sz w:val="22"/>
                <w:szCs w:val="22"/>
              </w:rPr>
              <w:t>Notes</w:t>
            </w:r>
          </w:p>
        </w:tc>
        <w:tc>
          <w:tcPr>
            <w:tcW w:w="8618" w:type="dxa"/>
            <w:tcBorders>
              <w:top w:val="single" w:sz="4" w:space="0" w:color="auto"/>
              <w:left w:val="nil"/>
              <w:bottom w:val="single" w:sz="4" w:space="0" w:color="auto"/>
              <w:right w:val="nil"/>
            </w:tcBorders>
            <w:shd w:val="clear" w:color="auto" w:fill="auto"/>
          </w:tcPr>
          <w:p w14:paraId="33AECF79" w14:textId="77777777" w:rsidR="00FC782D" w:rsidRPr="004C1F2C" w:rsidRDefault="00FC782D" w:rsidP="00D923D6">
            <w:pPr>
              <w:rPr>
                <w:rFonts w:cs="Arial"/>
                <w:szCs w:val="22"/>
              </w:rPr>
            </w:pPr>
            <w:r w:rsidRPr="004C1F2C">
              <w:rPr>
                <w:rFonts w:cs="Arial"/>
                <w:sz w:val="22"/>
                <w:szCs w:val="22"/>
              </w:rPr>
              <w:t>This notice requires you to take the steps specified in the notice, by the given date in order to comply with the requirements of an environmental permit.</w:t>
            </w:r>
          </w:p>
          <w:p w14:paraId="545A2966" w14:textId="77777777" w:rsidR="00FC782D" w:rsidRPr="004C1F2C" w:rsidRDefault="00FC782D" w:rsidP="00D923D6">
            <w:pPr>
              <w:rPr>
                <w:rFonts w:cs="Arial"/>
                <w:szCs w:val="22"/>
              </w:rPr>
            </w:pPr>
            <w:r w:rsidRPr="004C1F2C">
              <w:rPr>
                <w:rFonts w:cs="Arial"/>
                <w:sz w:val="22"/>
                <w:szCs w:val="22"/>
              </w:rPr>
              <w:t xml:space="preserve"> </w:t>
            </w:r>
          </w:p>
          <w:p w14:paraId="21F32318" w14:textId="77777777" w:rsidR="00FC782D" w:rsidRPr="004C1F2C" w:rsidRDefault="00FC782D" w:rsidP="00D923D6">
            <w:pPr>
              <w:rPr>
                <w:rFonts w:cs="Arial"/>
                <w:szCs w:val="22"/>
              </w:rPr>
            </w:pPr>
            <w:r w:rsidRPr="004C1F2C">
              <w:rPr>
                <w:rFonts w:cs="Arial"/>
                <w:sz w:val="22"/>
                <w:szCs w:val="22"/>
              </w:rPr>
              <w:t xml:space="preserve">Failure to comply with the terms of this notice is an offence under Regulation 38(3) of the 2016 Regulations.  </w:t>
            </w:r>
            <w:r w:rsidRPr="004C1F2C">
              <w:rPr>
                <w:rFonts w:cs="Arial"/>
                <w:sz w:val="22"/>
                <w:szCs w:val="22"/>
              </w:rPr>
              <w:br/>
            </w:r>
          </w:p>
        </w:tc>
      </w:tr>
      <w:tr w:rsidR="004C1F2C" w:rsidRPr="004C1F2C" w14:paraId="4A2C15D1" w14:textId="77777777" w:rsidTr="00492986">
        <w:tc>
          <w:tcPr>
            <w:tcW w:w="420" w:type="dxa"/>
            <w:tcBorders>
              <w:top w:val="nil"/>
              <w:left w:val="nil"/>
              <w:bottom w:val="nil"/>
              <w:right w:val="nil"/>
            </w:tcBorders>
            <w:shd w:val="clear" w:color="auto" w:fill="auto"/>
          </w:tcPr>
          <w:p w14:paraId="252CF6FD" w14:textId="77777777" w:rsidR="00FC782D" w:rsidRPr="004C1F2C" w:rsidRDefault="00FC782D" w:rsidP="00D923D6">
            <w:pPr>
              <w:ind w:right="-1440"/>
              <w:rPr>
                <w:rFonts w:cs="Arial"/>
                <w:szCs w:val="22"/>
              </w:rPr>
            </w:pPr>
          </w:p>
        </w:tc>
        <w:tc>
          <w:tcPr>
            <w:tcW w:w="2694" w:type="dxa"/>
            <w:tcBorders>
              <w:left w:val="nil"/>
              <w:right w:val="nil"/>
            </w:tcBorders>
            <w:shd w:val="clear" w:color="auto" w:fill="auto"/>
          </w:tcPr>
          <w:p w14:paraId="490C04AD" w14:textId="77777777" w:rsidR="00FC782D" w:rsidRPr="004C1F2C" w:rsidRDefault="00FC782D" w:rsidP="00D923D6">
            <w:pPr>
              <w:ind w:left="39" w:right="-1440"/>
              <w:rPr>
                <w:rFonts w:cs="Arial"/>
                <w:b/>
                <w:szCs w:val="22"/>
              </w:rPr>
            </w:pPr>
            <w:r w:rsidRPr="004C1F2C">
              <w:rPr>
                <w:rFonts w:cs="Arial"/>
                <w:b/>
                <w:sz w:val="22"/>
                <w:szCs w:val="22"/>
              </w:rPr>
              <w:t>Appeals</w:t>
            </w:r>
          </w:p>
        </w:tc>
        <w:tc>
          <w:tcPr>
            <w:tcW w:w="8618" w:type="dxa"/>
            <w:tcBorders>
              <w:top w:val="single" w:sz="4" w:space="0" w:color="auto"/>
              <w:left w:val="nil"/>
              <w:bottom w:val="single" w:sz="4" w:space="0" w:color="auto"/>
              <w:right w:val="nil"/>
            </w:tcBorders>
            <w:shd w:val="clear" w:color="auto" w:fill="auto"/>
          </w:tcPr>
          <w:p w14:paraId="6D1C4699" w14:textId="77777777" w:rsidR="00FC782D" w:rsidRPr="004C1F2C" w:rsidRDefault="00FC782D" w:rsidP="00D923D6">
            <w:pPr>
              <w:pStyle w:val="BodyText"/>
              <w:numPr>
                <w:ilvl w:val="0"/>
                <w:numId w:val="0"/>
              </w:numPr>
              <w:spacing w:before="0" w:after="0"/>
              <w:jc w:val="left"/>
              <w:rPr>
                <w:szCs w:val="22"/>
              </w:rPr>
            </w:pPr>
            <w:r w:rsidRPr="004C1F2C">
              <w:rPr>
                <w:sz w:val="22"/>
                <w:szCs w:val="22"/>
              </w:rPr>
              <w:t>Under Regulation 31(1)(f) of the 2016 Regulations, operators have the right of appeal against an enforcement notice. The right to appeal does not apply in circumstances where the notice implements a direction of the Secretary of State given under Regulations 61 or 62 or a direction or when determining an appeal.</w:t>
            </w:r>
            <w:r w:rsidRPr="004C1F2C" w:rsidDel="00FD7818">
              <w:rPr>
                <w:sz w:val="22"/>
                <w:szCs w:val="22"/>
              </w:rPr>
              <w:t xml:space="preserve"> </w:t>
            </w:r>
            <w:r w:rsidRPr="004C1F2C">
              <w:rPr>
                <w:sz w:val="22"/>
                <w:szCs w:val="22"/>
              </w:rPr>
              <w:t xml:space="preserve"> </w:t>
            </w:r>
            <w:r w:rsidRPr="004C1F2C">
              <w:rPr>
                <w:sz w:val="22"/>
                <w:szCs w:val="22"/>
              </w:rPr>
              <w:br/>
            </w:r>
          </w:p>
          <w:p w14:paraId="70CD4F0B" w14:textId="77777777" w:rsidR="00FC782D" w:rsidRPr="004C1F2C" w:rsidRDefault="00FC782D" w:rsidP="00D923D6">
            <w:pPr>
              <w:pStyle w:val="BodyText"/>
              <w:numPr>
                <w:ilvl w:val="0"/>
                <w:numId w:val="0"/>
              </w:numPr>
              <w:spacing w:before="0" w:after="0"/>
              <w:jc w:val="left"/>
              <w:rPr>
                <w:szCs w:val="22"/>
              </w:rPr>
            </w:pPr>
            <w:r w:rsidRPr="004C1F2C">
              <w:rPr>
                <w:sz w:val="22"/>
                <w:szCs w:val="22"/>
              </w:rPr>
              <w:t>Appeals against an enforcement notice do not suspend the operation of the notice.</w:t>
            </w:r>
            <w:r w:rsidRPr="004C1F2C">
              <w:rPr>
                <w:sz w:val="22"/>
                <w:szCs w:val="22"/>
              </w:rPr>
              <w:br/>
            </w:r>
          </w:p>
          <w:p w14:paraId="0F5E55C1" w14:textId="77777777" w:rsidR="00FC782D" w:rsidRPr="004C1F2C" w:rsidRDefault="00FC782D" w:rsidP="00D923D6">
            <w:pPr>
              <w:rPr>
                <w:rFonts w:cs="Arial"/>
                <w:szCs w:val="22"/>
              </w:rPr>
            </w:pPr>
            <w:r w:rsidRPr="004C1F2C">
              <w:rPr>
                <w:rFonts w:cs="Arial"/>
                <w:sz w:val="22"/>
                <w:szCs w:val="22"/>
              </w:rPr>
              <w:t xml:space="preserve">Notice of appeal against an enforcement notice must be given within </w:t>
            </w:r>
            <w:r w:rsidRPr="004C1F2C">
              <w:rPr>
                <w:rFonts w:cs="Arial"/>
                <w:b/>
                <w:sz w:val="22"/>
                <w:szCs w:val="22"/>
              </w:rPr>
              <w:t>2 months</w:t>
            </w:r>
            <w:r w:rsidRPr="004C1F2C">
              <w:rPr>
                <w:rFonts w:cs="Arial"/>
                <w:sz w:val="22"/>
                <w:szCs w:val="22"/>
              </w:rPr>
              <w:t xml:space="preserve"> of the date of the notice. The Secretary of State may, in a particular case, allow notice of appeal to be given after the expiry of this period, but would only do so in the most compelling circumstances.</w:t>
            </w:r>
          </w:p>
          <w:p w14:paraId="310C9139" w14:textId="77777777" w:rsidR="00FC782D" w:rsidRPr="004C1F2C" w:rsidRDefault="00FC782D" w:rsidP="00D923D6">
            <w:pPr>
              <w:rPr>
                <w:rFonts w:cs="Arial"/>
                <w:szCs w:val="22"/>
              </w:rPr>
            </w:pPr>
          </w:p>
        </w:tc>
      </w:tr>
      <w:tr w:rsidR="004C1F2C" w:rsidRPr="004C1F2C" w14:paraId="398BFA7A" w14:textId="77777777" w:rsidTr="00492986">
        <w:tc>
          <w:tcPr>
            <w:tcW w:w="420" w:type="dxa"/>
            <w:tcBorders>
              <w:top w:val="nil"/>
              <w:left w:val="nil"/>
              <w:bottom w:val="nil"/>
              <w:right w:val="nil"/>
            </w:tcBorders>
            <w:shd w:val="clear" w:color="auto" w:fill="auto"/>
          </w:tcPr>
          <w:p w14:paraId="184DD22A" w14:textId="77777777" w:rsidR="00FC782D" w:rsidRPr="004C1F2C" w:rsidRDefault="00FC782D" w:rsidP="00D923D6">
            <w:pPr>
              <w:ind w:right="-1440"/>
              <w:rPr>
                <w:rFonts w:cs="Arial"/>
                <w:szCs w:val="22"/>
              </w:rPr>
            </w:pPr>
          </w:p>
        </w:tc>
        <w:tc>
          <w:tcPr>
            <w:tcW w:w="2694" w:type="dxa"/>
            <w:tcBorders>
              <w:left w:val="nil"/>
              <w:right w:val="nil"/>
            </w:tcBorders>
            <w:shd w:val="clear" w:color="auto" w:fill="auto"/>
          </w:tcPr>
          <w:p w14:paraId="7C84438F" w14:textId="77777777" w:rsidR="00FC782D" w:rsidRPr="004C1F2C" w:rsidRDefault="00FC782D" w:rsidP="00D923D6">
            <w:pPr>
              <w:ind w:left="39" w:right="-1440"/>
              <w:rPr>
                <w:rFonts w:cs="Arial"/>
                <w:b/>
                <w:szCs w:val="22"/>
              </w:rPr>
            </w:pPr>
            <w:r w:rsidRPr="004C1F2C">
              <w:rPr>
                <w:rFonts w:cs="Arial"/>
                <w:b/>
                <w:sz w:val="22"/>
                <w:szCs w:val="22"/>
              </w:rPr>
              <w:t>How to Appeal</w:t>
            </w:r>
          </w:p>
        </w:tc>
        <w:tc>
          <w:tcPr>
            <w:tcW w:w="8618" w:type="dxa"/>
            <w:tcBorders>
              <w:top w:val="single" w:sz="4" w:space="0" w:color="auto"/>
              <w:left w:val="nil"/>
              <w:bottom w:val="single" w:sz="4" w:space="0" w:color="auto"/>
              <w:right w:val="nil"/>
            </w:tcBorders>
            <w:shd w:val="clear" w:color="auto" w:fill="auto"/>
          </w:tcPr>
          <w:p w14:paraId="7920CEE4" w14:textId="12AFFF99" w:rsidR="00FC782D" w:rsidRPr="004C1F2C" w:rsidRDefault="00CC33D2" w:rsidP="00D923D6">
            <w:pPr>
              <w:pStyle w:val="BodyText"/>
              <w:numPr>
                <w:ilvl w:val="0"/>
                <w:numId w:val="0"/>
              </w:numPr>
              <w:spacing w:before="0" w:after="0"/>
              <w:jc w:val="left"/>
              <w:rPr>
                <w:i/>
                <w:szCs w:val="22"/>
              </w:rPr>
            </w:pPr>
            <w:r w:rsidRPr="004C1F2C">
              <w:rPr>
                <w:sz w:val="22"/>
                <w:szCs w:val="22"/>
              </w:rPr>
              <w:t xml:space="preserve">An appeal form can be found at </w:t>
            </w:r>
            <w:hyperlink r:id="rId9" w:history="1">
              <w:r w:rsidRPr="004C1F2C">
                <w:rPr>
                  <w:rStyle w:val="Hyperlink"/>
                  <w:color w:val="auto"/>
                  <w:sz w:val="22"/>
                  <w:szCs w:val="22"/>
                </w:rPr>
                <w:t>https://www.gov.uk/government/publications/environmental-permit-appeal-form</w:t>
              </w:r>
            </w:hyperlink>
            <w:r w:rsidRPr="004C1F2C">
              <w:rPr>
                <w:sz w:val="22"/>
                <w:szCs w:val="22"/>
              </w:rPr>
              <w:t>. You do not need to use a form, however for an appeal to be valid, appellants (the person/operator making the appeal) are legally required to provide the Secretary of State or Welsh Minister with the following (see paragraphs 2(1) and (2) of Schedule 6 of the 2016 Regulations):</w:t>
            </w:r>
            <w:r w:rsidR="00FC782D" w:rsidRPr="004C1F2C">
              <w:rPr>
                <w:sz w:val="22"/>
                <w:szCs w:val="22"/>
              </w:rPr>
              <w:br/>
            </w:r>
          </w:p>
          <w:p w14:paraId="7AADEA19" w14:textId="77777777" w:rsidR="00FC782D" w:rsidRPr="004C1F2C" w:rsidRDefault="00FC782D" w:rsidP="00FC782D">
            <w:pPr>
              <w:numPr>
                <w:ilvl w:val="0"/>
                <w:numId w:val="2"/>
              </w:numPr>
              <w:ind w:left="323" w:hanging="284"/>
              <w:rPr>
                <w:rFonts w:cs="Arial"/>
                <w:szCs w:val="22"/>
              </w:rPr>
            </w:pPr>
            <w:r w:rsidRPr="004C1F2C">
              <w:rPr>
                <w:rFonts w:cs="Arial"/>
                <w:sz w:val="22"/>
                <w:szCs w:val="22"/>
              </w:rPr>
              <w:t xml:space="preserve">Written notice of the appeal </w:t>
            </w:r>
          </w:p>
          <w:p w14:paraId="7CFAC939" w14:textId="77777777" w:rsidR="00FC782D" w:rsidRPr="004C1F2C" w:rsidRDefault="00FC782D" w:rsidP="00FC782D">
            <w:pPr>
              <w:numPr>
                <w:ilvl w:val="0"/>
                <w:numId w:val="2"/>
              </w:numPr>
              <w:ind w:left="323" w:hanging="284"/>
              <w:rPr>
                <w:rFonts w:cs="Arial"/>
                <w:szCs w:val="22"/>
              </w:rPr>
            </w:pPr>
            <w:r w:rsidRPr="004C1F2C">
              <w:rPr>
                <w:rFonts w:cs="Arial"/>
                <w:sz w:val="22"/>
                <w:szCs w:val="22"/>
              </w:rPr>
              <w:t>A statement of the grounds of appeal</w:t>
            </w:r>
          </w:p>
          <w:p w14:paraId="3C06918F" w14:textId="77777777" w:rsidR="00FC782D" w:rsidRPr="004C1F2C" w:rsidRDefault="00FC782D" w:rsidP="00FC782D">
            <w:pPr>
              <w:numPr>
                <w:ilvl w:val="0"/>
                <w:numId w:val="2"/>
              </w:numPr>
              <w:ind w:left="323" w:hanging="284"/>
              <w:rPr>
                <w:rFonts w:cs="Arial"/>
                <w:szCs w:val="22"/>
              </w:rPr>
            </w:pPr>
            <w:r w:rsidRPr="004C1F2C">
              <w:rPr>
                <w:rFonts w:cs="Arial"/>
                <w:sz w:val="22"/>
                <w:szCs w:val="22"/>
              </w:rPr>
              <w:t>A copy of any relevant application</w:t>
            </w:r>
          </w:p>
          <w:p w14:paraId="630AEC8B" w14:textId="77777777" w:rsidR="00FC782D" w:rsidRPr="004C1F2C" w:rsidRDefault="00FC782D" w:rsidP="00FC782D">
            <w:pPr>
              <w:numPr>
                <w:ilvl w:val="0"/>
                <w:numId w:val="2"/>
              </w:numPr>
              <w:ind w:left="323" w:hanging="284"/>
              <w:rPr>
                <w:rFonts w:cs="Arial"/>
                <w:szCs w:val="22"/>
              </w:rPr>
            </w:pPr>
            <w:r w:rsidRPr="004C1F2C">
              <w:rPr>
                <w:rFonts w:cs="Arial"/>
                <w:sz w:val="22"/>
                <w:szCs w:val="22"/>
              </w:rPr>
              <w:t>A copy of any relevant environmental permit</w:t>
            </w:r>
          </w:p>
          <w:p w14:paraId="35218948" w14:textId="77777777" w:rsidR="00FC782D" w:rsidRPr="004C1F2C" w:rsidRDefault="00FC782D" w:rsidP="00FC782D">
            <w:pPr>
              <w:numPr>
                <w:ilvl w:val="0"/>
                <w:numId w:val="2"/>
              </w:numPr>
              <w:ind w:left="323" w:hanging="284"/>
              <w:rPr>
                <w:rFonts w:cs="Arial"/>
                <w:szCs w:val="22"/>
              </w:rPr>
            </w:pPr>
            <w:r w:rsidRPr="004C1F2C">
              <w:rPr>
                <w:rFonts w:cs="Arial"/>
                <w:sz w:val="22"/>
                <w:szCs w:val="22"/>
              </w:rPr>
              <w:t>A copy of any relevant correspondence between the appellant and the regulator</w:t>
            </w:r>
          </w:p>
          <w:p w14:paraId="629C6180" w14:textId="77777777" w:rsidR="00FC782D" w:rsidRPr="004C1F2C" w:rsidRDefault="00FC782D" w:rsidP="00FC782D">
            <w:pPr>
              <w:numPr>
                <w:ilvl w:val="0"/>
                <w:numId w:val="2"/>
              </w:numPr>
              <w:ind w:left="323" w:hanging="284"/>
              <w:rPr>
                <w:rFonts w:cs="Arial"/>
                <w:szCs w:val="22"/>
              </w:rPr>
            </w:pPr>
            <w:r w:rsidRPr="004C1F2C">
              <w:rPr>
                <w:rFonts w:cs="Arial"/>
                <w:sz w:val="22"/>
                <w:szCs w:val="22"/>
              </w:rPr>
              <w:t>A copy of any decision or notice which is the subject matter of the appeal, and</w:t>
            </w:r>
          </w:p>
          <w:p w14:paraId="24555D3E" w14:textId="77777777" w:rsidR="00FC782D" w:rsidRPr="004C1F2C" w:rsidRDefault="00FC782D" w:rsidP="00FC782D">
            <w:pPr>
              <w:numPr>
                <w:ilvl w:val="0"/>
                <w:numId w:val="2"/>
              </w:numPr>
              <w:ind w:left="323" w:hanging="284"/>
              <w:rPr>
                <w:rFonts w:cs="Arial"/>
                <w:szCs w:val="22"/>
              </w:rPr>
            </w:pPr>
            <w:r w:rsidRPr="004C1F2C">
              <w:rPr>
                <w:rFonts w:cs="Arial"/>
                <w:sz w:val="22"/>
                <w:szCs w:val="22"/>
              </w:rPr>
              <w:t>A statement indicating whether the appellant wishes the appeal to be in the form of a hearing or dealt with by way of written representations.</w:t>
            </w:r>
            <w:r w:rsidRPr="004C1F2C">
              <w:rPr>
                <w:rFonts w:cs="Arial"/>
                <w:sz w:val="22"/>
                <w:szCs w:val="22"/>
              </w:rPr>
              <w:br/>
            </w:r>
          </w:p>
          <w:p w14:paraId="79E6E305" w14:textId="77777777" w:rsidR="00FC782D" w:rsidRPr="004C1F2C" w:rsidRDefault="00FC782D" w:rsidP="00D923D6">
            <w:pPr>
              <w:pStyle w:val="BodyText"/>
              <w:numPr>
                <w:ilvl w:val="0"/>
                <w:numId w:val="0"/>
              </w:numPr>
              <w:spacing w:before="0" w:after="0"/>
              <w:jc w:val="left"/>
              <w:rPr>
                <w:szCs w:val="22"/>
              </w:rPr>
            </w:pPr>
            <w:r w:rsidRPr="004C1F2C">
              <w:rPr>
                <w:sz w:val="22"/>
                <w:szCs w:val="22"/>
              </w:rPr>
              <w:t>Appellants should state whether any of the information enclosed with the appeal has been the subject of a successful application for confidentiality under Regulation 48 of the 2016 Regulations, and provide relevant details (see below). Unless such information is provided, all documents submitted will be open to inspection.</w:t>
            </w:r>
            <w:r w:rsidRPr="004C1F2C">
              <w:rPr>
                <w:sz w:val="22"/>
                <w:szCs w:val="22"/>
              </w:rPr>
              <w:br/>
            </w:r>
          </w:p>
          <w:p w14:paraId="29A02C4E" w14:textId="77777777" w:rsidR="00FC782D" w:rsidRPr="004C1F2C" w:rsidRDefault="00FC782D" w:rsidP="00D923D6">
            <w:pPr>
              <w:pStyle w:val="BodyText"/>
              <w:numPr>
                <w:ilvl w:val="0"/>
                <w:numId w:val="0"/>
              </w:numPr>
              <w:spacing w:before="0" w:after="0"/>
              <w:jc w:val="left"/>
              <w:rPr>
                <w:szCs w:val="22"/>
              </w:rPr>
            </w:pPr>
            <w:r w:rsidRPr="004C1F2C">
              <w:rPr>
                <w:b/>
                <w:sz w:val="22"/>
                <w:szCs w:val="22"/>
              </w:rPr>
              <w:t>Where to send your appeal documents</w:t>
            </w:r>
            <w:r w:rsidRPr="004C1F2C">
              <w:rPr>
                <w:b/>
                <w:sz w:val="22"/>
                <w:szCs w:val="22"/>
              </w:rPr>
              <w:br/>
            </w:r>
            <w:r w:rsidRPr="004C1F2C">
              <w:rPr>
                <w:sz w:val="22"/>
                <w:szCs w:val="22"/>
              </w:rPr>
              <w:lastRenderedPageBreak/>
              <w:t>Appeals should be despatched on the day they are dated and addressed to:</w:t>
            </w:r>
            <w:r w:rsidRPr="004C1F2C">
              <w:rPr>
                <w:sz w:val="22"/>
                <w:szCs w:val="22"/>
              </w:rPr>
              <w:br/>
            </w:r>
          </w:p>
          <w:p w14:paraId="66E13FD0" w14:textId="77777777" w:rsidR="00CC33D2" w:rsidRPr="004C1F2C" w:rsidRDefault="00CC33D2" w:rsidP="00CC33D2">
            <w:pPr>
              <w:pStyle w:val="BodyText"/>
              <w:numPr>
                <w:ilvl w:val="0"/>
                <w:numId w:val="0"/>
              </w:numPr>
              <w:spacing w:before="0" w:after="0"/>
              <w:jc w:val="left"/>
              <w:rPr>
                <w:szCs w:val="22"/>
              </w:rPr>
            </w:pPr>
            <w:r w:rsidRPr="004C1F2C">
              <w:rPr>
                <w:sz w:val="22"/>
                <w:szCs w:val="22"/>
              </w:rPr>
              <w:t>The Planning Inspectorate</w:t>
            </w:r>
          </w:p>
          <w:p w14:paraId="6A5A06F8" w14:textId="77777777" w:rsidR="00CC33D2" w:rsidRPr="004C1F2C" w:rsidRDefault="00CC33D2" w:rsidP="00CC33D2">
            <w:pPr>
              <w:pStyle w:val="BodyText"/>
              <w:numPr>
                <w:ilvl w:val="0"/>
                <w:numId w:val="0"/>
              </w:numPr>
              <w:spacing w:before="0" w:after="0"/>
              <w:jc w:val="left"/>
              <w:rPr>
                <w:szCs w:val="22"/>
              </w:rPr>
            </w:pPr>
            <w:r w:rsidRPr="004C1F2C">
              <w:rPr>
                <w:sz w:val="22"/>
                <w:szCs w:val="22"/>
              </w:rPr>
              <w:t>Environment Appeals Team</w:t>
            </w:r>
          </w:p>
          <w:p w14:paraId="1ACA5454" w14:textId="77777777" w:rsidR="00CC33D2" w:rsidRPr="004C1F2C" w:rsidRDefault="00CC33D2" w:rsidP="00CC33D2">
            <w:pPr>
              <w:pStyle w:val="BodyText"/>
              <w:numPr>
                <w:ilvl w:val="0"/>
                <w:numId w:val="0"/>
              </w:numPr>
              <w:spacing w:before="0" w:after="0"/>
              <w:jc w:val="left"/>
              <w:rPr>
                <w:szCs w:val="22"/>
              </w:rPr>
            </w:pPr>
            <w:r w:rsidRPr="004C1F2C">
              <w:rPr>
                <w:sz w:val="22"/>
                <w:szCs w:val="22"/>
              </w:rPr>
              <w:t>3A Eagle Wing</w:t>
            </w:r>
          </w:p>
          <w:p w14:paraId="5F11D422" w14:textId="77777777" w:rsidR="00CC33D2" w:rsidRPr="004C1F2C" w:rsidRDefault="00CC33D2" w:rsidP="00CC33D2">
            <w:pPr>
              <w:pStyle w:val="BodyText"/>
              <w:numPr>
                <w:ilvl w:val="0"/>
                <w:numId w:val="0"/>
              </w:numPr>
              <w:spacing w:before="0" w:after="0"/>
              <w:jc w:val="left"/>
              <w:rPr>
                <w:szCs w:val="22"/>
              </w:rPr>
            </w:pPr>
            <w:r w:rsidRPr="004C1F2C">
              <w:rPr>
                <w:sz w:val="22"/>
                <w:szCs w:val="22"/>
              </w:rPr>
              <w:t>Temple Quay House</w:t>
            </w:r>
          </w:p>
          <w:p w14:paraId="4A041057" w14:textId="77777777" w:rsidR="00CC33D2" w:rsidRPr="004C1F2C" w:rsidRDefault="00CC33D2" w:rsidP="00CC33D2">
            <w:pPr>
              <w:pStyle w:val="BodyText"/>
              <w:numPr>
                <w:ilvl w:val="0"/>
                <w:numId w:val="0"/>
              </w:numPr>
              <w:spacing w:before="0" w:after="0"/>
              <w:jc w:val="left"/>
              <w:rPr>
                <w:szCs w:val="22"/>
              </w:rPr>
            </w:pPr>
            <w:r w:rsidRPr="004C1F2C">
              <w:rPr>
                <w:sz w:val="22"/>
                <w:szCs w:val="22"/>
              </w:rPr>
              <w:t>2 The Square</w:t>
            </w:r>
          </w:p>
          <w:p w14:paraId="18F3BA57" w14:textId="77777777" w:rsidR="00CC33D2" w:rsidRPr="004C1F2C" w:rsidRDefault="00CC33D2" w:rsidP="00CC33D2">
            <w:pPr>
              <w:pStyle w:val="BodyText"/>
              <w:numPr>
                <w:ilvl w:val="0"/>
                <w:numId w:val="0"/>
              </w:numPr>
              <w:spacing w:before="0" w:after="0"/>
              <w:jc w:val="left"/>
              <w:rPr>
                <w:szCs w:val="22"/>
              </w:rPr>
            </w:pPr>
            <w:r w:rsidRPr="004C1F2C">
              <w:rPr>
                <w:sz w:val="22"/>
                <w:szCs w:val="22"/>
              </w:rPr>
              <w:t>Temple Quay</w:t>
            </w:r>
          </w:p>
          <w:p w14:paraId="59406230" w14:textId="77777777" w:rsidR="00CC33D2" w:rsidRPr="004C1F2C" w:rsidRDefault="00CC33D2" w:rsidP="00CC33D2">
            <w:pPr>
              <w:pStyle w:val="BodyText"/>
              <w:numPr>
                <w:ilvl w:val="0"/>
                <w:numId w:val="0"/>
              </w:numPr>
              <w:spacing w:before="0" w:after="0"/>
              <w:jc w:val="left"/>
              <w:rPr>
                <w:szCs w:val="22"/>
              </w:rPr>
            </w:pPr>
            <w:r w:rsidRPr="004C1F2C">
              <w:rPr>
                <w:sz w:val="22"/>
                <w:szCs w:val="22"/>
              </w:rPr>
              <w:t>Bristol</w:t>
            </w:r>
          </w:p>
          <w:p w14:paraId="1603A953" w14:textId="77777777" w:rsidR="00CC33D2" w:rsidRPr="004C1F2C" w:rsidRDefault="00CC33D2" w:rsidP="00CC33D2">
            <w:pPr>
              <w:pStyle w:val="BodyText"/>
              <w:numPr>
                <w:ilvl w:val="0"/>
                <w:numId w:val="0"/>
              </w:numPr>
              <w:spacing w:before="0" w:after="0"/>
              <w:jc w:val="left"/>
              <w:rPr>
                <w:szCs w:val="22"/>
              </w:rPr>
            </w:pPr>
            <w:r w:rsidRPr="004C1F2C">
              <w:rPr>
                <w:sz w:val="22"/>
                <w:szCs w:val="22"/>
              </w:rPr>
              <w:t>BS1 6 PN</w:t>
            </w:r>
          </w:p>
          <w:p w14:paraId="00D07EFC" w14:textId="4CDA1EED" w:rsidR="00FC782D" w:rsidRPr="004C1F2C" w:rsidRDefault="00FC782D" w:rsidP="00D923D6">
            <w:pPr>
              <w:pStyle w:val="BodyText"/>
              <w:numPr>
                <w:ilvl w:val="0"/>
                <w:numId w:val="0"/>
              </w:numPr>
              <w:spacing w:after="0"/>
              <w:ind w:left="720"/>
              <w:jc w:val="left"/>
              <w:rPr>
                <w:szCs w:val="22"/>
              </w:rPr>
            </w:pPr>
            <w:r w:rsidRPr="004C1F2C">
              <w:rPr>
                <w:sz w:val="22"/>
                <w:szCs w:val="22"/>
              </w:rPr>
              <w:br/>
            </w:r>
          </w:p>
          <w:p w14:paraId="59A44A6F" w14:textId="77777777" w:rsidR="00FC782D" w:rsidRPr="004C1F2C" w:rsidRDefault="00FC782D" w:rsidP="00D923D6">
            <w:pPr>
              <w:pStyle w:val="BodyText"/>
              <w:numPr>
                <w:ilvl w:val="0"/>
                <w:numId w:val="0"/>
              </w:numPr>
              <w:spacing w:before="0" w:after="0"/>
              <w:jc w:val="left"/>
              <w:rPr>
                <w:szCs w:val="22"/>
              </w:rPr>
            </w:pPr>
            <w:r w:rsidRPr="004C1F2C">
              <w:rPr>
                <w:sz w:val="22"/>
                <w:szCs w:val="22"/>
              </w:rPr>
              <w:t>If an appeal is made, the main parties will be kept informed about the next steps and will also normally be provided with additional copies of each other's representations.</w:t>
            </w:r>
            <w:r w:rsidRPr="004C1F2C">
              <w:rPr>
                <w:sz w:val="22"/>
                <w:szCs w:val="22"/>
              </w:rPr>
              <w:br/>
            </w:r>
          </w:p>
          <w:p w14:paraId="0EC869B5" w14:textId="77777777" w:rsidR="00FC782D" w:rsidRPr="004C1F2C" w:rsidRDefault="00FC782D" w:rsidP="00D923D6">
            <w:pPr>
              <w:pStyle w:val="BodyText"/>
              <w:numPr>
                <w:ilvl w:val="0"/>
                <w:numId w:val="0"/>
              </w:numPr>
              <w:spacing w:before="0" w:after="0"/>
              <w:jc w:val="left"/>
              <w:rPr>
                <w:szCs w:val="22"/>
              </w:rPr>
            </w:pPr>
            <w:r w:rsidRPr="004C1F2C">
              <w:rPr>
                <w:sz w:val="22"/>
                <w:szCs w:val="22"/>
              </w:rPr>
              <w:t>To withdraw an appeal - which may be done at any time - the appellant must notify the Planning Inspectorate in writing and copy the notification to the local authority who must, in turn, notify anyone with an interest in the appeal</w:t>
            </w:r>
            <w:r w:rsidRPr="004C1F2C">
              <w:rPr>
                <w:i/>
                <w:sz w:val="22"/>
                <w:szCs w:val="22"/>
              </w:rPr>
              <w:t>.</w:t>
            </w:r>
            <w:r w:rsidRPr="004C1F2C">
              <w:rPr>
                <w:i/>
                <w:sz w:val="22"/>
                <w:szCs w:val="22"/>
              </w:rPr>
              <w:br/>
            </w:r>
          </w:p>
        </w:tc>
      </w:tr>
      <w:tr w:rsidR="004C1F2C" w:rsidRPr="004C1F2C" w14:paraId="1D51EED2" w14:textId="77777777" w:rsidTr="00492986">
        <w:tc>
          <w:tcPr>
            <w:tcW w:w="420" w:type="dxa"/>
            <w:tcBorders>
              <w:top w:val="nil"/>
              <w:left w:val="nil"/>
              <w:bottom w:val="nil"/>
              <w:right w:val="nil"/>
            </w:tcBorders>
            <w:shd w:val="clear" w:color="auto" w:fill="auto"/>
          </w:tcPr>
          <w:p w14:paraId="4A14FD3A" w14:textId="77777777" w:rsidR="00FC782D" w:rsidRPr="004C1F2C" w:rsidRDefault="00FC782D" w:rsidP="00D923D6">
            <w:pPr>
              <w:ind w:right="-1440"/>
              <w:rPr>
                <w:rFonts w:cs="Arial"/>
                <w:szCs w:val="22"/>
              </w:rPr>
            </w:pPr>
          </w:p>
        </w:tc>
        <w:tc>
          <w:tcPr>
            <w:tcW w:w="2694" w:type="dxa"/>
            <w:tcBorders>
              <w:left w:val="nil"/>
              <w:bottom w:val="single" w:sz="4" w:space="0" w:color="auto"/>
              <w:right w:val="nil"/>
            </w:tcBorders>
            <w:shd w:val="clear" w:color="auto" w:fill="auto"/>
          </w:tcPr>
          <w:p w14:paraId="22436AEC" w14:textId="77777777" w:rsidR="00FC782D" w:rsidRPr="004C1F2C" w:rsidRDefault="00FC782D" w:rsidP="00D923D6">
            <w:pPr>
              <w:ind w:left="39" w:right="-1440"/>
              <w:rPr>
                <w:rFonts w:cs="Arial"/>
                <w:b/>
                <w:szCs w:val="22"/>
              </w:rPr>
            </w:pPr>
            <w:r w:rsidRPr="004C1F2C">
              <w:rPr>
                <w:rFonts w:cs="Arial"/>
                <w:b/>
                <w:sz w:val="22"/>
                <w:szCs w:val="22"/>
              </w:rPr>
              <w:t>Advice</w:t>
            </w:r>
          </w:p>
        </w:tc>
        <w:tc>
          <w:tcPr>
            <w:tcW w:w="8618" w:type="dxa"/>
            <w:tcBorders>
              <w:top w:val="single" w:sz="4" w:space="0" w:color="auto"/>
              <w:left w:val="nil"/>
              <w:bottom w:val="single" w:sz="4" w:space="0" w:color="auto"/>
              <w:right w:val="nil"/>
            </w:tcBorders>
            <w:shd w:val="clear" w:color="auto" w:fill="auto"/>
          </w:tcPr>
          <w:p w14:paraId="0F6992D7" w14:textId="77777777" w:rsidR="00FC782D" w:rsidRPr="004C1F2C" w:rsidRDefault="00FC782D" w:rsidP="00D923D6">
            <w:pPr>
              <w:rPr>
                <w:rFonts w:cs="Arial"/>
                <w:szCs w:val="22"/>
              </w:rPr>
            </w:pPr>
            <w:r w:rsidRPr="004C1F2C">
              <w:rPr>
                <w:rFonts w:cs="Arial"/>
                <w:sz w:val="22"/>
                <w:szCs w:val="22"/>
              </w:rPr>
              <w:t>If you do not understand the contents of this notice or would like to know more about it, please contact the local authority. If you would like to receive independent advice about the contents of this notice, your rights and obligations then please contact Citizens Advice, a Housing Aid Centre, law centre or solicitor. Please be aware that you may qualify for legal aid or, otherwise, free independent advice from a solicitor or legal advisor for up to half an hour.</w:t>
            </w:r>
          </w:p>
          <w:p w14:paraId="6032F0EF" w14:textId="77777777" w:rsidR="00FC782D" w:rsidRPr="004C1F2C" w:rsidRDefault="00FC782D" w:rsidP="00D923D6">
            <w:pPr>
              <w:rPr>
                <w:rFonts w:cs="Arial"/>
                <w:szCs w:val="22"/>
              </w:rPr>
            </w:pPr>
          </w:p>
        </w:tc>
      </w:tr>
      <w:tr w:rsidR="004C1F2C" w:rsidRPr="004C1F2C" w14:paraId="78340CCC" w14:textId="77777777" w:rsidTr="00492986">
        <w:tc>
          <w:tcPr>
            <w:tcW w:w="420" w:type="dxa"/>
            <w:tcBorders>
              <w:top w:val="nil"/>
              <w:left w:val="nil"/>
              <w:bottom w:val="nil"/>
              <w:right w:val="nil"/>
            </w:tcBorders>
            <w:shd w:val="clear" w:color="auto" w:fill="auto"/>
          </w:tcPr>
          <w:p w14:paraId="6B43BAA4" w14:textId="77777777" w:rsidR="00FC782D" w:rsidRPr="004C1F2C" w:rsidRDefault="00FC782D" w:rsidP="00D923D6">
            <w:pPr>
              <w:ind w:right="-1440"/>
              <w:rPr>
                <w:rFonts w:cs="Arial"/>
                <w:szCs w:val="22"/>
              </w:rPr>
            </w:pPr>
          </w:p>
        </w:tc>
        <w:tc>
          <w:tcPr>
            <w:tcW w:w="2694" w:type="dxa"/>
            <w:tcBorders>
              <w:left w:val="nil"/>
              <w:bottom w:val="single" w:sz="4" w:space="0" w:color="auto"/>
              <w:right w:val="nil"/>
            </w:tcBorders>
            <w:shd w:val="clear" w:color="auto" w:fill="auto"/>
          </w:tcPr>
          <w:p w14:paraId="205C02F1" w14:textId="77777777" w:rsidR="00FC782D" w:rsidRPr="004C1F2C" w:rsidRDefault="00FC782D" w:rsidP="00D923D6">
            <w:pPr>
              <w:ind w:left="39" w:right="-1440"/>
              <w:rPr>
                <w:rFonts w:cs="Arial"/>
                <w:b/>
                <w:szCs w:val="22"/>
              </w:rPr>
            </w:pPr>
            <w:r w:rsidRPr="004C1F2C">
              <w:rPr>
                <w:rFonts w:cs="Arial"/>
                <w:b/>
                <w:sz w:val="22"/>
                <w:szCs w:val="22"/>
              </w:rPr>
              <w:t xml:space="preserve">Warning </w:t>
            </w:r>
          </w:p>
        </w:tc>
        <w:tc>
          <w:tcPr>
            <w:tcW w:w="8618" w:type="dxa"/>
            <w:tcBorders>
              <w:top w:val="single" w:sz="4" w:space="0" w:color="auto"/>
              <w:left w:val="nil"/>
              <w:bottom w:val="single" w:sz="4" w:space="0" w:color="auto"/>
              <w:right w:val="nil"/>
            </w:tcBorders>
            <w:shd w:val="clear" w:color="auto" w:fill="auto"/>
          </w:tcPr>
          <w:p w14:paraId="04E9979E" w14:textId="77777777" w:rsidR="00FC782D" w:rsidRPr="004C1F2C" w:rsidRDefault="00FC782D" w:rsidP="00D923D6">
            <w:pPr>
              <w:rPr>
                <w:rFonts w:cs="Arial"/>
                <w:szCs w:val="22"/>
              </w:rPr>
            </w:pPr>
            <w:r w:rsidRPr="004C1F2C">
              <w:rPr>
                <w:rFonts w:cs="Arial"/>
                <w:sz w:val="22"/>
                <w:szCs w:val="22"/>
              </w:rPr>
              <w:t>It is an offence to fail to comply with the requirements of an enforcement notice.</w:t>
            </w:r>
            <w:r w:rsidRPr="004C1F2C">
              <w:rPr>
                <w:rFonts w:cs="Arial"/>
                <w:sz w:val="22"/>
                <w:szCs w:val="22"/>
              </w:rPr>
              <w:br/>
            </w:r>
          </w:p>
          <w:p w14:paraId="106A477E" w14:textId="77777777" w:rsidR="00FC782D" w:rsidRPr="004C1F2C" w:rsidRDefault="00FC782D" w:rsidP="00D923D6">
            <w:pPr>
              <w:pStyle w:val="BodyText"/>
              <w:numPr>
                <w:ilvl w:val="0"/>
                <w:numId w:val="0"/>
              </w:numPr>
              <w:spacing w:before="0" w:after="0"/>
              <w:jc w:val="left"/>
              <w:rPr>
                <w:szCs w:val="22"/>
              </w:rPr>
            </w:pPr>
            <w:r w:rsidRPr="004C1F2C">
              <w:rPr>
                <w:sz w:val="22"/>
                <w:szCs w:val="22"/>
              </w:rPr>
              <w:t xml:space="preserve">A person guilty of an offence could be liable to (i) a fine or to imprisonment for a term not exceeding 12 months or both; or (ii) to a fine or imprisonment for a term not exceeding five years or both, depending on whether the matter is dealt with in a magistrates’ or Crown Court.  Additionally, under Regulation 42 of the 2016 Regulations, the council may, in certain cases, take proceedings in the High Court for the purpose of securing compliance with this enforcement notice.   </w:t>
            </w:r>
            <w:r w:rsidRPr="004C1F2C">
              <w:rPr>
                <w:sz w:val="22"/>
                <w:szCs w:val="22"/>
              </w:rPr>
              <w:br/>
            </w:r>
          </w:p>
          <w:p w14:paraId="58455E00" w14:textId="77777777" w:rsidR="00FC782D" w:rsidRPr="004C1F2C" w:rsidRDefault="00FC782D" w:rsidP="00D923D6">
            <w:pPr>
              <w:pStyle w:val="BodyText"/>
              <w:numPr>
                <w:ilvl w:val="0"/>
                <w:numId w:val="0"/>
              </w:numPr>
              <w:spacing w:before="0" w:after="0"/>
              <w:jc w:val="left"/>
              <w:rPr>
                <w:szCs w:val="22"/>
              </w:rPr>
            </w:pPr>
            <w:r w:rsidRPr="004C1F2C">
              <w:rPr>
                <w:sz w:val="22"/>
                <w:szCs w:val="22"/>
                <w:shd w:val="clear" w:color="auto" w:fill="FFFFFF"/>
                <w:lang w:eastAsia="en-GB"/>
              </w:rPr>
              <w:t>If an offence committed by</w:t>
            </w:r>
            <w:r w:rsidRPr="004C1F2C">
              <w:rPr>
                <w:sz w:val="22"/>
                <w:szCs w:val="22"/>
                <w:shd w:val="clear" w:color="auto" w:fill="FFFFFF"/>
              </w:rPr>
              <w:t xml:space="preserve"> a person </w:t>
            </w:r>
            <w:r w:rsidRPr="004C1F2C">
              <w:rPr>
                <w:sz w:val="22"/>
                <w:szCs w:val="22"/>
                <w:shd w:val="clear" w:color="auto" w:fill="FFFFFF"/>
                <w:lang w:eastAsia="en-GB"/>
              </w:rPr>
              <w:t>is due to the act or default of some other person, that other person is also guilty of the offence and is liable to be proceeded against and punished accordingly, whether or not proceedings for the offence are taken against the first-mentioned person.</w:t>
            </w:r>
            <w:r w:rsidRPr="004C1F2C">
              <w:rPr>
                <w:sz w:val="22"/>
                <w:szCs w:val="22"/>
                <w:shd w:val="clear" w:color="auto" w:fill="FFFFFF"/>
                <w:lang w:eastAsia="en-GB"/>
              </w:rPr>
              <w:br/>
            </w:r>
          </w:p>
        </w:tc>
      </w:tr>
    </w:tbl>
    <w:p w14:paraId="7FDBF666" w14:textId="77777777" w:rsidR="00FC782D" w:rsidRPr="004C1F2C" w:rsidRDefault="00FC782D" w:rsidP="00FC782D">
      <w:pPr>
        <w:ind w:left="-1418" w:right="-1440"/>
        <w:rPr>
          <w:rFonts w:cs="Arial"/>
          <w:sz w:val="22"/>
          <w:szCs w:val="22"/>
        </w:rPr>
      </w:pPr>
    </w:p>
    <w:p w14:paraId="3488B6D8" w14:textId="77777777" w:rsidR="00FC782D" w:rsidRPr="004C1F2C" w:rsidRDefault="00FC782D" w:rsidP="00FC782D">
      <w:pPr>
        <w:ind w:left="-1418" w:right="-1440"/>
        <w:rPr>
          <w:rFonts w:cs="Arial"/>
          <w:sz w:val="22"/>
          <w:szCs w:val="22"/>
        </w:rPr>
      </w:pPr>
    </w:p>
    <w:p w14:paraId="7BDB45D2" w14:textId="77777777" w:rsidR="00FC782D" w:rsidRPr="004C1F2C" w:rsidRDefault="00FC782D" w:rsidP="00FC782D">
      <w:pPr>
        <w:pStyle w:val="HeadingPG1"/>
        <w:tabs>
          <w:tab w:val="left" w:pos="1395"/>
        </w:tabs>
        <w:spacing w:before="0"/>
        <w:ind w:left="0" w:firstLine="0"/>
        <w:rPr>
          <w:rFonts w:ascii="Arial" w:eastAsia="Calibri" w:hAnsi="Arial" w:cs="Arial"/>
          <w:b w:val="0"/>
          <w:bCs w:val="0"/>
          <w:color w:val="auto"/>
          <w:sz w:val="22"/>
          <w:szCs w:val="22"/>
          <w:lang w:val="en-GB" w:eastAsia="en-GB"/>
        </w:rPr>
      </w:pPr>
    </w:p>
    <w:p w14:paraId="261282D3" w14:textId="77777777" w:rsidR="002A0739" w:rsidRPr="004C1F2C" w:rsidRDefault="002A0739">
      <w:pPr>
        <w:rPr>
          <w:rFonts w:cs="Arial"/>
          <w:sz w:val="22"/>
          <w:szCs w:val="22"/>
        </w:rPr>
      </w:pPr>
    </w:p>
    <w:sectPr w:rsidR="002A0739" w:rsidRPr="004C1F2C" w:rsidSect="00D923D6">
      <w:pgSz w:w="11906" w:h="16838" w:code="9"/>
      <w:pgMar w:top="851" w:right="1134" w:bottom="1134" w:left="1418" w:header="7" w:footer="4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71C30"/>
    <w:multiLevelType w:val="multilevel"/>
    <w:tmpl w:val="B0CE867A"/>
    <w:lvl w:ilvl="0">
      <w:start w:val="1"/>
      <w:numFmt w:val="decimal"/>
      <w:lvlText w:val="%1."/>
      <w:lvlJc w:val="left"/>
      <w:pPr>
        <w:tabs>
          <w:tab w:val="num" w:pos="360"/>
        </w:tabs>
        <w:ind w:left="360" w:hanging="360"/>
      </w:pPr>
      <w:rPr>
        <w:rFonts w:hint="default"/>
      </w:rPr>
    </w:lvl>
    <w:lvl w:ilvl="1">
      <w:start w:val="1"/>
      <w:numFmt w:val="decimal"/>
      <w:pStyle w:val="BodyText"/>
      <w:lvlText w:val="%1.%2."/>
      <w:lvlJc w:val="left"/>
      <w:pPr>
        <w:tabs>
          <w:tab w:val="num" w:pos="794"/>
        </w:tabs>
        <w:ind w:left="794" w:hanging="794"/>
      </w:pPr>
      <w:rPr>
        <w:rFonts w:hint="default"/>
      </w:rPr>
    </w:lvl>
    <w:lvl w:ilvl="2">
      <w:start w:val="1"/>
      <w:numFmt w:val="lowerLetter"/>
      <w:lvlText w:val="%3)"/>
      <w:lvlJc w:val="left"/>
      <w:pPr>
        <w:tabs>
          <w:tab w:val="num" w:pos="1224"/>
        </w:tabs>
        <w:ind w:left="1224" w:hanging="43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7194168E"/>
    <w:multiLevelType w:val="hybridMultilevel"/>
    <w:tmpl w:val="09846E98"/>
    <w:lvl w:ilvl="0" w:tplc="7206BFD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80722752">
    <w:abstractNumId w:val="0"/>
  </w:num>
  <w:num w:numId="2" w16cid:durableId="874540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C782D"/>
    <w:rsid w:val="00023CE8"/>
    <w:rsid w:val="00194FC1"/>
    <w:rsid w:val="001B362B"/>
    <w:rsid w:val="001B5054"/>
    <w:rsid w:val="00272177"/>
    <w:rsid w:val="002A0739"/>
    <w:rsid w:val="002B6CD0"/>
    <w:rsid w:val="002B706D"/>
    <w:rsid w:val="00365D6B"/>
    <w:rsid w:val="003A5467"/>
    <w:rsid w:val="003B70DC"/>
    <w:rsid w:val="004617E7"/>
    <w:rsid w:val="00492986"/>
    <w:rsid w:val="004C1F2C"/>
    <w:rsid w:val="00516625"/>
    <w:rsid w:val="005C592E"/>
    <w:rsid w:val="005E1676"/>
    <w:rsid w:val="005F5F9E"/>
    <w:rsid w:val="0060229D"/>
    <w:rsid w:val="00632F43"/>
    <w:rsid w:val="006F710A"/>
    <w:rsid w:val="007C6268"/>
    <w:rsid w:val="00823502"/>
    <w:rsid w:val="00897578"/>
    <w:rsid w:val="00A25A53"/>
    <w:rsid w:val="00BE642A"/>
    <w:rsid w:val="00C20E2F"/>
    <w:rsid w:val="00C31230"/>
    <w:rsid w:val="00C55DFB"/>
    <w:rsid w:val="00CC33D2"/>
    <w:rsid w:val="00CE33EC"/>
    <w:rsid w:val="00D82C65"/>
    <w:rsid w:val="00D923D6"/>
    <w:rsid w:val="00E5008B"/>
    <w:rsid w:val="00FA7498"/>
    <w:rsid w:val="00FC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0122"/>
  <w15:docId w15:val="{6EFA95FD-9709-45BE-9782-A4C16026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82D"/>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FC782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PG1">
    <w:name w:val="Heading  PG 1"/>
    <w:basedOn w:val="Heading1"/>
    <w:link w:val="HeadingPG1Char"/>
    <w:uiPriority w:val="99"/>
    <w:qFormat/>
    <w:rsid w:val="00FC782D"/>
    <w:pPr>
      <w:keepLines w:val="0"/>
      <w:tabs>
        <w:tab w:val="left" w:pos="-993"/>
      </w:tabs>
      <w:spacing w:before="480" w:after="120"/>
      <w:ind w:left="709" w:hanging="709"/>
    </w:pPr>
    <w:rPr>
      <w:rFonts w:ascii="Arial Bold" w:eastAsia="Times New Roman" w:hAnsi="Arial Bold" w:cs="Times New Roman"/>
      <w:b/>
      <w:bCs/>
      <w:color w:val="878700"/>
      <w:sz w:val="44"/>
      <w:szCs w:val="36"/>
      <w:lang w:val="x-none" w:eastAsia="x-none"/>
    </w:rPr>
  </w:style>
  <w:style w:type="character" w:customStyle="1" w:styleId="HeadingPG1Char">
    <w:name w:val="Heading  PG 1 Char"/>
    <w:link w:val="HeadingPG1"/>
    <w:uiPriority w:val="99"/>
    <w:locked/>
    <w:rsid w:val="00FC782D"/>
    <w:rPr>
      <w:rFonts w:ascii="Arial Bold" w:eastAsia="Times New Roman" w:hAnsi="Arial Bold" w:cs="Times New Roman"/>
      <w:b/>
      <w:bCs/>
      <w:color w:val="878700"/>
      <w:sz w:val="44"/>
      <w:szCs w:val="36"/>
      <w:lang w:val="x-none" w:eastAsia="x-none"/>
    </w:rPr>
  </w:style>
  <w:style w:type="paragraph" w:styleId="BodyText">
    <w:name w:val="Body Text"/>
    <w:basedOn w:val="Normal"/>
    <w:link w:val="BodyTextChar"/>
    <w:rsid w:val="00FC782D"/>
    <w:pPr>
      <w:numPr>
        <w:ilvl w:val="1"/>
        <w:numId w:val="1"/>
      </w:numPr>
      <w:spacing w:before="120" w:after="120"/>
      <w:jc w:val="both"/>
    </w:pPr>
    <w:rPr>
      <w:rFonts w:cs="Arial"/>
      <w:lang w:eastAsia="en-US"/>
    </w:rPr>
  </w:style>
  <w:style w:type="character" w:customStyle="1" w:styleId="BodyTextChar">
    <w:name w:val="Body Text Char"/>
    <w:basedOn w:val="DefaultParagraphFont"/>
    <w:link w:val="BodyText"/>
    <w:rsid w:val="00FC782D"/>
    <w:rPr>
      <w:rFonts w:ascii="Arial" w:eastAsia="Times New Roman" w:hAnsi="Arial" w:cs="Arial"/>
      <w:sz w:val="24"/>
      <w:szCs w:val="20"/>
    </w:rPr>
  </w:style>
  <w:style w:type="character" w:customStyle="1" w:styleId="Heading1Char">
    <w:name w:val="Heading 1 Char"/>
    <w:basedOn w:val="DefaultParagraphFont"/>
    <w:link w:val="Heading1"/>
    <w:uiPriority w:val="9"/>
    <w:rsid w:val="00FC782D"/>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CC33D2"/>
    <w:rPr>
      <w:color w:val="0563C1" w:themeColor="hyperlink"/>
      <w:u w:val="single"/>
    </w:rPr>
  </w:style>
  <w:style w:type="character" w:styleId="CommentReference">
    <w:name w:val="annotation reference"/>
    <w:basedOn w:val="DefaultParagraphFont"/>
    <w:uiPriority w:val="99"/>
    <w:semiHidden/>
    <w:unhideWhenUsed/>
    <w:rsid w:val="00FA7498"/>
    <w:rPr>
      <w:sz w:val="16"/>
      <w:szCs w:val="16"/>
    </w:rPr>
  </w:style>
  <w:style w:type="paragraph" w:styleId="CommentText">
    <w:name w:val="annotation text"/>
    <w:basedOn w:val="Normal"/>
    <w:link w:val="CommentTextChar"/>
    <w:uiPriority w:val="99"/>
    <w:unhideWhenUsed/>
    <w:rsid w:val="00FA7498"/>
    <w:rPr>
      <w:sz w:val="20"/>
    </w:rPr>
  </w:style>
  <w:style w:type="character" w:customStyle="1" w:styleId="CommentTextChar">
    <w:name w:val="Comment Text Char"/>
    <w:basedOn w:val="DefaultParagraphFont"/>
    <w:link w:val="CommentText"/>
    <w:uiPriority w:val="99"/>
    <w:rsid w:val="00FA749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A7498"/>
    <w:rPr>
      <w:b/>
      <w:bCs/>
    </w:rPr>
  </w:style>
  <w:style w:type="character" w:customStyle="1" w:styleId="CommentSubjectChar">
    <w:name w:val="Comment Subject Char"/>
    <w:basedOn w:val="CommentTextChar"/>
    <w:link w:val="CommentSubject"/>
    <w:uiPriority w:val="99"/>
    <w:semiHidden/>
    <w:rsid w:val="00FA7498"/>
    <w:rPr>
      <w:rFonts w:ascii="Arial" w:eastAsia="Times New Roman" w:hAnsi="Arial" w:cs="Times New Roman"/>
      <w:b/>
      <w:bCs/>
      <w:sz w:val="20"/>
      <w:szCs w:val="20"/>
      <w:lang w:eastAsia="en-GB"/>
    </w:rPr>
  </w:style>
  <w:style w:type="character" w:styleId="UnresolvedMention">
    <w:name w:val="Unresolved Mention"/>
    <w:basedOn w:val="DefaultParagraphFont"/>
    <w:uiPriority w:val="99"/>
    <w:semiHidden/>
    <w:unhideWhenUsed/>
    <w:rsid w:val="007C6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gloucester365-my.sharepoint.com/personal/gosig_gloucester_gov_uk/Documents/Permali%20Notice/IP015-021A%20NMP%20Noise%20Management%20Plan.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oucester365-my.sharepoint.com/personal/gosig_gloucester_gov_uk/Documents/Permali%20Notice/permali-a2-211123.pd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environmental-permit-appeal-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b5cc1e7-c297-4baa-ba8a-cdaf38d13815}" enabled="0" method="" siteId="{ab5cc1e7-c297-4baa-ba8a-cdaf38d13815}" removed="1"/>
</clbl:labelList>
</file>

<file path=docProps/app.xml><?xml version="1.0" encoding="utf-8"?>
<Properties xmlns="http://schemas.openxmlformats.org/officeDocument/2006/extended-properties" xmlns:vt="http://schemas.openxmlformats.org/officeDocument/2006/docPropsVTypes">
  <Template>Normal</Template>
  <TotalTime>459</TotalTime>
  <Pages>3</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Williams</dc:creator>
  <cp:keywords/>
  <dc:description/>
  <cp:lastModifiedBy>Gupti Gosine</cp:lastModifiedBy>
  <cp:revision>16</cp:revision>
  <dcterms:created xsi:type="dcterms:W3CDTF">2025-04-02T14:52:00Z</dcterms:created>
  <dcterms:modified xsi:type="dcterms:W3CDTF">2025-04-07T18:39:00Z</dcterms:modified>
</cp:coreProperties>
</file>